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685F" w14:textId="77777777" w:rsidR="00D44031" w:rsidRDefault="00D44031" w:rsidP="00D44031">
      <w:pPr>
        <w:jc w:val="center"/>
      </w:pPr>
      <w:bookmarkStart w:id="0" w:name="_GoBack"/>
      <w:bookmarkEnd w:id="0"/>
      <w:r>
        <w:t>Website Announcement/ Newsletter Announcement</w:t>
      </w:r>
    </w:p>
    <w:p w14:paraId="0580EAF1" w14:textId="77777777" w:rsidR="00D44031" w:rsidRDefault="00D44031" w:rsidP="00D44031"/>
    <w:p w14:paraId="3DC1DEB7" w14:textId="42CE1AAF" w:rsidR="00D44031" w:rsidRPr="00C774E9" w:rsidRDefault="00D44031" w:rsidP="00D17422">
      <w:pPr>
        <w:ind w:firstLine="720"/>
      </w:pPr>
      <w:r>
        <w:t xml:space="preserve">A new and exciting program has been approved within the City of Springfield!! Beginning on </w:t>
      </w:r>
      <w:r w:rsidR="00C440F8">
        <w:t>Februa</w:t>
      </w:r>
      <w:r w:rsidR="00FF6A8D">
        <w:t>ry 10</w:t>
      </w:r>
      <w:r w:rsidR="00FF6A8D" w:rsidRPr="00FF6A8D">
        <w:rPr>
          <w:vertAlign w:val="superscript"/>
        </w:rPr>
        <w:t>th</w:t>
      </w:r>
      <w:r>
        <w:t>, 202</w:t>
      </w:r>
      <w:r w:rsidR="00D17422">
        <w:t>5</w:t>
      </w:r>
      <w:r>
        <w:t xml:space="preserve">, applications will be available for the Senior Tax </w:t>
      </w:r>
      <w:r w:rsidR="00D17422">
        <w:t xml:space="preserve">Work Off </w:t>
      </w:r>
      <w:r>
        <w:t>Program</w:t>
      </w:r>
      <w:r w:rsidR="002B4690">
        <w:t xml:space="preserve">.  </w:t>
      </w:r>
      <w:r>
        <w:t xml:space="preserve">Seniors age 60 and over can apply for the opportunity to save $1000.00 per year by volunteering </w:t>
      </w:r>
      <w:r w:rsidR="00D17422">
        <w:t>67</w:t>
      </w:r>
      <w:r>
        <w:t xml:space="preserve"> hours within the City to reduce their tax burden. </w:t>
      </w:r>
      <w:r>
        <w:br/>
      </w:r>
    </w:p>
    <w:p w14:paraId="5189F10A" w14:textId="21ADD7DB" w:rsidR="00D44031" w:rsidRPr="00C774E9" w:rsidRDefault="00D44031" w:rsidP="00D44031">
      <w:pPr>
        <w:ind w:firstLine="720"/>
      </w:pPr>
      <w:r>
        <w:t xml:space="preserve">Seniors meeting the Massachusetts Circuit Breaker Income limits who apply will be entered into a Lottery, where 20 participants will be </w:t>
      </w:r>
      <w:r w:rsidR="002A6032">
        <w:t>selected.</w:t>
      </w:r>
    </w:p>
    <w:p w14:paraId="33F0EF50" w14:textId="77777777" w:rsidR="00D44031" w:rsidRDefault="00D44031" w:rsidP="00D44031">
      <w:pPr>
        <w:ind w:firstLine="720"/>
      </w:pPr>
    </w:p>
    <w:p w14:paraId="3B490BDC" w14:textId="478576E7" w:rsidR="00807E0C" w:rsidRPr="00C774E9" w:rsidRDefault="00F168DC" w:rsidP="00F168DC">
      <w:r>
        <w:t xml:space="preserve">     </w:t>
      </w:r>
      <w:r w:rsidR="00D44031">
        <w:t>Applications will be available at the City of Springfield Department of Elder Affairs</w:t>
      </w:r>
      <w:r w:rsidR="002A6032">
        <w:t xml:space="preserve"> offices and the</w:t>
      </w:r>
      <w:r w:rsidR="00D44031">
        <w:t xml:space="preserve"> Assessor’s office, as well as on the City Webpage</w:t>
      </w:r>
      <w:r w:rsidR="002A6032">
        <w:t xml:space="preserve"> via a downloadable PDF that must be filled out and submitted in person to the Elder Affairs office</w:t>
      </w:r>
      <w:r w:rsidR="00D44031">
        <w:t>. Senior residents</w:t>
      </w:r>
      <w:r w:rsidR="00D44031" w:rsidRPr="00C774E9">
        <w:t xml:space="preserve"> interested can </w:t>
      </w:r>
      <w:r w:rsidR="002A6032">
        <w:t>submit an application</w:t>
      </w:r>
      <w:r w:rsidR="00D44031">
        <w:t xml:space="preserve"> beginning </w:t>
      </w:r>
      <w:r w:rsidR="00FF6A8D">
        <w:t>February 10</w:t>
      </w:r>
      <w:r w:rsidR="00FF6A8D" w:rsidRPr="00FF6A8D">
        <w:rPr>
          <w:vertAlign w:val="superscript"/>
        </w:rPr>
        <w:t>th</w:t>
      </w:r>
      <w:r w:rsidR="00D17422">
        <w:t xml:space="preserve">.  </w:t>
      </w:r>
      <w:r w:rsidR="002A6032">
        <w:t xml:space="preserve">For more information, seniors may contact </w:t>
      </w:r>
      <w:r>
        <w:t>us at</w:t>
      </w:r>
      <w:r w:rsidR="00D44031" w:rsidRPr="00C774E9">
        <w:t xml:space="preserve"> 413-</w:t>
      </w:r>
      <w:r w:rsidR="00D44031">
        <w:t>886-</w:t>
      </w:r>
      <w:r w:rsidR="00D17422">
        <w:t>5260</w:t>
      </w:r>
      <w:r w:rsidR="002A6032">
        <w:t>,</w:t>
      </w:r>
      <w:r>
        <w:t xml:space="preserve"> or </w:t>
      </w:r>
      <w:r w:rsidR="002A6032">
        <w:t xml:space="preserve">by </w:t>
      </w:r>
      <w:r>
        <w:t xml:space="preserve">email at </w:t>
      </w:r>
      <w:hyperlink r:id="rId6" w:history="1">
        <w:r w:rsidR="00807E0C" w:rsidRPr="00627CC3">
          <w:rPr>
            <w:rStyle w:val="Hyperlink"/>
          </w:rPr>
          <w:t>TaxWorkOff@springfieldcityhall.com</w:t>
        </w:r>
      </w:hyperlink>
    </w:p>
    <w:p w14:paraId="1DDCA5FA" w14:textId="05D2B7D5" w:rsidR="00FA1325" w:rsidRDefault="00FA1325"/>
    <w:p w14:paraId="7FE32C22" w14:textId="492118AD" w:rsidR="00F168DC" w:rsidRDefault="00F168DC"/>
    <w:tbl>
      <w:tblPr>
        <w:tblW w:w="9360" w:type="dxa"/>
        <w:jc w:val="center"/>
        <w:shd w:val="clear" w:color="auto" w:fill="F8F8F8"/>
        <w:tblCellMar>
          <w:top w:w="15" w:type="dxa"/>
          <w:left w:w="15" w:type="dxa"/>
          <w:bottom w:w="15" w:type="dxa"/>
          <w:right w:w="15" w:type="dxa"/>
        </w:tblCellMar>
        <w:tblLook w:val="04A0" w:firstRow="1" w:lastRow="0" w:firstColumn="1" w:lastColumn="0" w:noHBand="0" w:noVBand="1"/>
      </w:tblPr>
      <w:tblGrid>
        <w:gridCol w:w="6057"/>
        <w:gridCol w:w="3303"/>
      </w:tblGrid>
      <w:tr w:rsidR="00F168DC" w:rsidRPr="00D27668" w14:paraId="7DD532ED" w14:textId="77777777" w:rsidTr="00DF24A3">
        <w:trPr>
          <w:trHeight w:val="420"/>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3F821E67" w14:textId="424BEAE2" w:rsidR="00F168DC" w:rsidRPr="00D27668" w:rsidRDefault="00F168DC" w:rsidP="00DF24A3">
            <w:pPr>
              <w:pStyle w:val="ListParagraph"/>
              <w:numPr>
                <w:ilvl w:val="0"/>
                <w:numId w:val="1"/>
              </w:numPr>
              <w:spacing w:after="0" w:line="240" w:lineRule="auto"/>
              <w:jc w:val="center"/>
              <w:rPr>
                <w:rFonts w:ascii="Times New Roman" w:eastAsia="Times New Roman" w:hAnsi="Times New Roman" w:cs="Times New Roman"/>
                <w:sz w:val="24"/>
                <w:szCs w:val="24"/>
              </w:rPr>
            </w:pPr>
            <w:r w:rsidRPr="00D27668">
              <w:rPr>
                <w:rFonts w:ascii="Century Gothic" w:eastAsia="Times New Roman" w:hAnsi="Century Gothic" w:cs="Times New Roman"/>
                <w:b/>
                <w:bCs/>
                <w:color w:val="000000"/>
                <w:bdr w:val="none" w:sz="0" w:space="0" w:color="auto" w:frame="1"/>
              </w:rPr>
              <w:t xml:space="preserve">For </w:t>
            </w:r>
            <w:r w:rsidR="002B4690">
              <w:rPr>
                <w:rFonts w:ascii="Century Gothic" w:eastAsia="Times New Roman" w:hAnsi="Century Gothic" w:cs="Times New Roman"/>
                <w:b/>
                <w:bCs/>
                <w:color w:val="000000"/>
                <w:bdr w:val="none" w:sz="0" w:space="0" w:color="auto" w:frame="1"/>
              </w:rPr>
              <w:t>Spring/Summer</w:t>
            </w:r>
            <w:r w:rsidRPr="00D27668">
              <w:rPr>
                <w:rFonts w:ascii="Century Gothic" w:eastAsia="Times New Roman" w:hAnsi="Century Gothic" w:cs="Times New Roman"/>
                <w:b/>
                <w:bCs/>
                <w:color w:val="000000"/>
                <w:bdr w:val="none" w:sz="0" w:space="0" w:color="auto" w:frame="1"/>
              </w:rPr>
              <w:t xml:space="preserve"> Positions:</w:t>
            </w:r>
          </w:p>
        </w:tc>
      </w:tr>
      <w:tr w:rsidR="00DF5653" w:rsidRPr="00D27668" w14:paraId="0546F1C6" w14:textId="77777777" w:rsidTr="00DF24A3">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8F8F8"/>
            <w:tcMar>
              <w:top w:w="100" w:type="dxa"/>
              <w:left w:w="100" w:type="dxa"/>
              <w:bottom w:w="100" w:type="dxa"/>
              <w:right w:w="100" w:type="dxa"/>
            </w:tcMar>
            <w:hideMark/>
          </w:tcPr>
          <w:p w14:paraId="770FA24F" w14:textId="77777777" w:rsidR="00F168DC" w:rsidRPr="00D27668" w:rsidRDefault="00F168DC" w:rsidP="00DF24A3">
            <w:r w:rsidRPr="00D27668">
              <w:rPr>
                <w:rFonts w:ascii="Century Gothic" w:hAnsi="Century Gothic"/>
                <w:color w:val="000000"/>
                <w:bdr w:val="none" w:sz="0" w:space="0" w:color="auto" w:frame="1"/>
              </w:rPr>
              <w:t>Applications Available</w:t>
            </w:r>
          </w:p>
        </w:tc>
        <w:tc>
          <w:tcPr>
            <w:tcW w:w="0" w:type="auto"/>
            <w:tcBorders>
              <w:top w:val="single" w:sz="8" w:space="0" w:color="000000"/>
              <w:left w:val="single" w:sz="8" w:space="0" w:color="000000"/>
              <w:bottom w:val="single" w:sz="8" w:space="0" w:color="000000"/>
              <w:right w:val="single" w:sz="8" w:space="0" w:color="000000"/>
            </w:tcBorders>
            <w:shd w:val="clear" w:color="auto" w:fill="F8F8F8"/>
            <w:tcMar>
              <w:top w:w="100" w:type="dxa"/>
              <w:left w:w="100" w:type="dxa"/>
              <w:bottom w:w="100" w:type="dxa"/>
              <w:right w:w="100" w:type="dxa"/>
            </w:tcMar>
            <w:hideMark/>
          </w:tcPr>
          <w:p w14:paraId="2DD2A66A" w14:textId="019B57EF" w:rsidR="00F168DC" w:rsidRPr="00D27668" w:rsidRDefault="00F168DC" w:rsidP="00DF24A3">
            <w:r w:rsidRPr="00D27668">
              <w:rPr>
                <w:rFonts w:ascii="Century Gothic" w:hAnsi="Century Gothic"/>
                <w:color w:val="000000"/>
                <w:bdr w:val="none" w:sz="0" w:space="0" w:color="auto" w:frame="1"/>
              </w:rPr>
              <w:t> </w:t>
            </w:r>
            <w:r w:rsidR="00FF6A8D">
              <w:rPr>
                <w:rFonts w:ascii="Century Gothic" w:hAnsi="Century Gothic"/>
                <w:color w:val="000000"/>
                <w:bdr w:val="none" w:sz="0" w:space="0" w:color="auto" w:frame="1"/>
              </w:rPr>
              <w:t>February 10</w:t>
            </w:r>
            <w:r w:rsidR="00FF6A8D" w:rsidRPr="00FF6A8D">
              <w:rPr>
                <w:rFonts w:ascii="Century Gothic" w:hAnsi="Century Gothic"/>
                <w:color w:val="000000"/>
                <w:bdr w:val="none" w:sz="0" w:space="0" w:color="auto" w:frame="1"/>
                <w:vertAlign w:val="superscript"/>
              </w:rPr>
              <w:t>th</w:t>
            </w:r>
            <w:r w:rsidRPr="00D27668">
              <w:rPr>
                <w:rFonts w:ascii="Century Gothic" w:hAnsi="Century Gothic"/>
                <w:color w:val="000000"/>
                <w:bdr w:val="none" w:sz="0" w:space="0" w:color="auto" w:frame="1"/>
              </w:rPr>
              <w:t>, 202</w:t>
            </w:r>
            <w:r>
              <w:rPr>
                <w:rFonts w:ascii="Century Gothic" w:hAnsi="Century Gothic"/>
                <w:color w:val="000000"/>
                <w:bdr w:val="none" w:sz="0" w:space="0" w:color="auto" w:frame="1"/>
              </w:rPr>
              <w:t>5</w:t>
            </w:r>
          </w:p>
        </w:tc>
      </w:tr>
      <w:tr w:rsidR="00DF5653" w:rsidRPr="00D27668" w14:paraId="6A3A34D4" w14:textId="77777777" w:rsidTr="00DF24A3">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8F8F8"/>
            <w:tcMar>
              <w:top w:w="100" w:type="dxa"/>
              <w:left w:w="100" w:type="dxa"/>
              <w:bottom w:w="100" w:type="dxa"/>
              <w:right w:w="100" w:type="dxa"/>
            </w:tcMar>
            <w:hideMark/>
          </w:tcPr>
          <w:p w14:paraId="0DB5F46D" w14:textId="1E38B5DC" w:rsidR="00F168DC" w:rsidRPr="00D27668" w:rsidRDefault="00F168DC" w:rsidP="00DF24A3">
            <w:r w:rsidRPr="00D27668">
              <w:rPr>
                <w:rFonts w:ascii="Century Gothic" w:hAnsi="Century Gothic"/>
                <w:color w:val="000000"/>
                <w:bdr w:val="none" w:sz="0" w:space="0" w:color="auto" w:frame="1"/>
              </w:rPr>
              <w:t xml:space="preserve">Application </w:t>
            </w:r>
            <w:r w:rsidR="002A6032">
              <w:rPr>
                <w:rFonts w:ascii="Century Gothic" w:hAnsi="Century Gothic"/>
                <w:color w:val="000000"/>
                <w:bdr w:val="none" w:sz="0" w:space="0" w:color="auto" w:frame="1"/>
              </w:rPr>
              <w:t>deadline</w:t>
            </w:r>
            <w:r w:rsidRPr="00D27668">
              <w:rPr>
                <w:rFonts w:ascii="Century Gothic" w:hAnsi="Century Gothic"/>
                <w:color w:val="000000"/>
                <w:bdr w:val="none" w:sz="0" w:space="0" w:color="auto" w:frame="1"/>
              </w:rPr>
              <w:t>:</w:t>
            </w:r>
          </w:p>
        </w:tc>
        <w:tc>
          <w:tcPr>
            <w:tcW w:w="0" w:type="auto"/>
            <w:tcBorders>
              <w:top w:val="single" w:sz="8" w:space="0" w:color="000000"/>
              <w:left w:val="single" w:sz="8" w:space="0" w:color="000000"/>
              <w:bottom w:val="single" w:sz="8" w:space="0" w:color="000000"/>
              <w:right w:val="single" w:sz="8" w:space="0" w:color="000000"/>
            </w:tcBorders>
            <w:shd w:val="clear" w:color="auto" w:fill="F8F8F8"/>
            <w:tcMar>
              <w:top w:w="100" w:type="dxa"/>
              <w:left w:w="100" w:type="dxa"/>
              <w:bottom w:w="100" w:type="dxa"/>
              <w:right w:w="100" w:type="dxa"/>
            </w:tcMar>
            <w:hideMark/>
          </w:tcPr>
          <w:p w14:paraId="186EB59E" w14:textId="7980FDD2" w:rsidR="00F168DC" w:rsidRPr="00D27668" w:rsidRDefault="00F168DC" w:rsidP="00DF24A3">
            <w:r w:rsidRPr="00D27668">
              <w:rPr>
                <w:rFonts w:ascii="Century Gothic" w:hAnsi="Century Gothic"/>
                <w:color w:val="000000"/>
                <w:bdr w:val="none" w:sz="0" w:space="0" w:color="auto" w:frame="1"/>
              </w:rPr>
              <w:t> </w:t>
            </w:r>
            <w:r w:rsidR="00FF6A8D">
              <w:rPr>
                <w:rFonts w:ascii="Century Gothic" w:hAnsi="Century Gothic"/>
                <w:color w:val="000000"/>
                <w:bdr w:val="none" w:sz="0" w:space="0" w:color="auto" w:frame="1"/>
              </w:rPr>
              <w:t>March 31</w:t>
            </w:r>
            <w:r w:rsidR="00FF6A8D" w:rsidRPr="00FF6A8D">
              <w:rPr>
                <w:rFonts w:ascii="Century Gothic" w:hAnsi="Century Gothic"/>
                <w:color w:val="000000"/>
                <w:bdr w:val="none" w:sz="0" w:space="0" w:color="auto" w:frame="1"/>
                <w:vertAlign w:val="superscript"/>
              </w:rPr>
              <w:t>st</w:t>
            </w:r>
            <w:r w:rsidRPr="00D27668">
              <w:rPr>
                <w:rFonts w:ascii="Century Gothic" w:hAnsi="Century Gothic"/>
                <w:color w:val="000000"/>
                <w:bdr w:val="none" w:sz="0" w:space="0" w:color="auto" w:frame="1"/>
              </w:rPr>
              <w:t>, 202</w:t>
            </w:r>
            <w:r>
              <w:rPr>
                <w:rFonts w:ascii="Century Gothic" w:hAnsi="Century Gothic"/>
                <w:color w:val="000000"/>
                <w:bdr w:val="none" w:sz="0" w:space="0" w:color="auto" w:frame="1"/>
              </w:rPr>
              <w:t>5</w:t>
            </w:r>
            <w:r w:rsidR="002A6032">
              <w:rPr>
                <w:rFonts w:ascii="Century Gothic" w:hAnsi="Century Gothic"/>
                <w:color w:val="000000"/>
                <w:bdr w:val="none" w:sz="0" w:space="0" w:color="auto" w:frame="1"/>
              </w:rPr>
              <w:t xml:space="preserve"> by 4:00PM EST.</w:t>
            </w:r>
          </w:p>
        </w:tc>
      </w:tr>
      <w:tr w:rsidR="00DF5653" w:rsidRPr="00D27668" w14:paraId="01D22847" w14:textId="77777777" w:rsidTr="00DF24A3">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8F8F8"/>
            <w:tcMar>
              <w:top w:w="100" w:type="dxa"/>
              <w:left w:w="100" w:type="dxa"/>
              <w:bottom w:w="100" w:type="dxa"/>
              <w:right w:w="100" w:type="dxa"/>
            </w:tcMar>
            <w:hideMark/>
          </w:tcPr>
          <w:p w14:paraId="56099F54" w14:textId="47D43DE1" w:rsidR="00F168DC" w:rsidRPr="00D27668" w:rsidRDefault="00F168DC" w:rsidP="00DF24A3">
            <w:r w:rsidRPr="00D27668">
              <w:rPr>
                <w:rFonts w:ascii="Century Gothic" w:hAnsi="Century Gothic"/>
                <w:color w:val="000000"/>
                <w:bdr w:val="none" w:sz="0" w:space="0" w:color="auto" w:frame="1"/>
              </w:rPr>
              <w:t xml:space="preserve">Applicant </w:t>
            </w:r>
            <w:r w:rsidR="0018038C">
              <w:rPr>
                <w:rFonts w:ascii="Century Gothic" w:hAnsi="Century Gothic"/>
                <w:color w:val="000000"/>
                <w:bdr w:val="none" w:sz="0" w:space="0" w:color="auto" w:frame="1"/>
              </w:rPr>
              <w:t>Lottery</w:t>
            </w:r>
          </w:p>
        </w:tc>
        <w:tc>
          <w:tcPr>
            <w:tcW w:w="0" w:type="auto"/>
            <w:tcBorders>
              <w:top w:val="single" w:sz="8" w:space="0" w:color="000000"/>
              <w:left w:val="single" w:sz="8" w:space="0" w:color="000000"/>
              <w:bottom w:val="single" w:sz="8" w:space="0" w:color="000000"/>
              <w:right w:val="single" w:sz="8" w:space="0" w:color="000000"/>
            </w:tcBorders>
            <w:shd w:val="clear" w:color="auto" w:fill="F8F8F8"/>
            <w:tcMar>
              <w:top w:w="100" w:type="dxa"/>
              <w:left w:w="100" w:type="dxa"/>
              <w:bottom w:w="100" w:type="dxa"/>
              <w:right w:w="100" w:type="dxa"/>
            </w:tcMar>
            <w:hideMark/>
          </w:tcPr>
          <w:p w14:paraId="4A322C16" w14:textId="66A27DF3" w:rsidR="0018038C" w:rsidRPr="0018038C" w:rsidRDefault="00FF6A8D" w:rsidP="00DF24A3">
            <w:pPr>
              <w:rPr>
                <w:rFonts w:ascii="Century Gothic" w:hAnsi="Century Gothic"/>
                <w:color w:val="000000"/>
                <w:bdr w:val="none" w:sz="0" w:space="0" w:color="auto" w:frame="1"/>
              </w:rPr>
            </w:pPr>
            <w:r>
              <w:rPr>
                <w:rFonts w:ascii="Century Gothic" w:hAnsi="Century Gothic"/>
                <w:color w:val="000000"/>
                <w:bdr w:val="none" w:sz="0" w:space="0" w:color="auto" w:frame="1"/>
              </w:rPr>
              <w:t>April 4</w:t>
            </w:r>
            <w:r w:rsidRPr="00FF6A8D">
              <w:rPr>
                <w:rFonts w:ascii="Century Gothic" w:hAnsi="Century Gothic"/>
                <w:color w:val="000000"/>
                <w:bdr w:val="none" w:sz="0" w:space="0" w:color="auto" w:frame="1"/>
                <w:vertAlign w:val="superscript"/>
              </w:rPr>
              <w:t>th</w:t>
            </w:r>
            <w:r w:rsidR="00F168DC" w:rsidRPr="00D27668">
              <w:rPr>
                <w:rFonts w:ascii="Century Gothic" w:hAnsi="Century Gothic"/>
                <w:color w:val="000000"/>
                <w:bdr w:val="none" w:sz="0" w:space="0" w:color="auto" w:frame="1"/>
              </w:rPr>
              <w:t>, 202</w:t>
            </w:r>
            <w:r w:rsidR="00F168DC">
              <w:rPr>
                <w:rFonts w:ascii="Century Gothic" w:hAnsi="Century Gothic"/>
                <w:color w:val="000000"/>
                <w:bdr w:val="none" w:sz="0" w:space="0" w:color="auto" w:frame="1"/>
              </w:rPr>
              <w:t>5</w:t>
            </w:r>
          </w:p>
        </w:tc>
      </w:tr>
      <w:tr w:rsidR="00DF5653" w:rsidRPr="00D27668" w14:paraId="03E85535" w14:textId="77777777" w:rsidTr="00DF24A3">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8F8F8"/>
            <w:tcMar>
              <w:top w:w="100" w:type="dxa"/>
              <w:left w:w="100" w:type="dxa"/>
              <w:bottom w:w="100" w:type="dxa"/>
              <w:right w:w="100" w:type="dxa"/>
            </w:tcMar>
            <w:hideMark/>
          </w:tcPr>
          <w:p w14:paraId="765FEEED" w14:textId="6E0B3444" w:rsidR="00F168DC" w:rsidRPr="00D27668" w:rsidRDefault="00F168DC" w:rsidP="00DF24A3">
            <w:r w:rsidRPr="00D27668">
              <w:rPr>
                <w:rFonts w:ascii="Century Gothic" w:hAnsi="Century Gothic"/>
                <w:color w:val="000000"/>
                <w:bdr w:val="none" w:sz="0" w:space="0" w:color="auto" w:frame="1"/>
              </w:rPr>
              <w:t>Selection</w:t>
            </w:r>
            <w:r w:rsidR="0018038C">
              <w:rPr>
                <w:rFonts w:ascii="Century Gothic" w:hAnsi="Century Gothic"/>
                <w:color w:val="000000"/>
                <w:bdr w:val="none" w:sz="0" w:space="0" w:color="auto" w:frame="1"/>
              </w:rPr>
              <w:t>, vetting, interview</w:t>
            </w:r>
            <w:r w:rsidRPr="00D27668">
              <w:rPr>
                <w:rFonts w:ascii="Century Gothic" w:hAnsi="Century Gothic"/>
                <w:color w:val="000000"/>
                <w:bdr w:val="none" w:sz="0" w:space="0" w:color="auto" w:frame="1"/>
              </w:rPr>
              <w:t xml:space="preserve"> and Placement:</w:t>
            </w:r>
          </w:p>
        </w:tc>
        <w:tc>
          <w:tcPr>
            <w:tcW w:w="0" w:type="auto"/>
            <w:tcBorders>
              <w:top w:val="single" w:sz="8" w:space="0" w:color="000000"/>
              <w:left w:val="single" w:sz="8" w:space="0" w:color="000000"/>
              <w:bottom w:val="single" w:sz="8" w:space="0" w:color="000000"/>
              <w:right w:val="single" w:sz="8" w:space="0" w:color="000000"/>
            </w:tcBorders>
            <w:shd w:val="clear" w:color="auto" w:fill="F8F8F8"/>
            <w:tcMar>
              <w:top w:w="100" w:type="dxa"/>
              <w:left w:w="100" w:type="dxa"/>
              <w:bottom w:w="100" w:type="dxa"/>
              <w:right w:w="100" w:type="dxa"/>
            </w:tcMar>
            <w:hideMark/>
          </w:tcPr>
          <w:p w14:paraId="595DF0B6" w14:textId="14CAE058" w:rsidR="00F168DC" w:rsidRPr="00D27668" w:rsidRDefault="00F168DC" w:rsidP="00DF24A3">
            <w:r w:rsidRPr="00D27668">
              <w:rPr>
                <w:rFonts w:ascii="Century Gothic" w:hAnsi="Century Gothic"/>
                <w:color w:val="000000"/>
                <w:bdr w:val="none" w:sz="0" w:space="0" w:color="auto" w:frame="1"/>
              </w:rPr>
              <w:t> </w:t>
            </w:r>
            <w:r w:rsidR="00FF6A8D">
              <w:rPr>
                <w:rFonts w:ascii="Century Gothic" w:hAnsi="Century Gothic"/>
                <w:color w:val="000000"/>
                <w:bdr w:val="none" w:sz="0" w:space="0" w:color="auto" w:frame="1"/>
              </w:rPr>
              <w:t>April 9</w:t>
            </w:r>
            <w:r w:rsidR="00FF6A8D" w:rsidRPr="00FF6A8D">
              <w:rPr>
                <w:rFonts w:ascii="Century Gothic" w:hAnsi="Century Gothic"/>
                <w:color w:val="000000"/>
                <w:bdr w:val="none" w:sz="0" w:space="0" w:color="auto" w:frame="1"/>
                <w:vertAlign w:val="superscript"/>
              </w:rPr>
              <w:t>th</w:t>
            </w:r>
            <w:r w:rsidRPr="00D27668">
              <w:rPr>
                <w:rFonts w:ascii="Century Gothic" w:hAnsi="Century Gothic"/>
                <w:color w:val="000000"/>
                <w:bdr w:val="none" w:sz="0" w:space="0" w:color="auto" w:frame="1"/>
              </w:rPr>
              <w:t>, 202</w:t>
            </w:r>
            <w:r w:rsidR="0018038C">
              <w:rPr>
                <w:rFonts w:ascii="Century Gothic" w:hAnsi="Century Gothic"/>
                <w:color w:val="000000"/>
                <w:bdr w:val="none" w:sz="0" w:space="0" w:color="auto" w:frame="1"/>
              </w:rPr>
              <w:t>5</w:t>
            </w:r>
            <w:r w:rsidRPr="00D27668">
              <w:rPr>
                <w:rFonts w:ascii="Century Gothic" w:hAnsi="Century Gothic"/>
                <w:color w:val="000000"/>
                <w:bdr w:val="none" w:sz="0" w:space="0" w:color="auto" w:frame="1"/>
              </w:rPr>
              <w:t> </w:t>
            </w:r>
            <w:r w:rsidR="00FF6A8D">
              <w:rPr>
                <w:rFonts w:ascii="Century Gothic" w:hAnsi="Century Gothic"/>
                <w:color w:val="000000"/>
                <w:bdr w:val="none" w:sz="0" w:space="0" w:color="auto" w:frame="1"/>
              </w:rPr>
              <w:t>–</w:t>
            </w:r>
            <w:r w:rsidRPr="00D27668">
              <w:rPr>
                <w:rFonts w:ascii="Century Gothic" w:hAnsi="Century Gothic"/>
                <w:color w:val="000000"/>
                <w:bdr w:val="none" w:sz="0" w:space="0" w:color="auto" w:frame="1"/>
              </w:rPr>
              <w:t> </w:t>
            </w:r>
            <w:r w:rsidR="00FF6A8D">
              <w:rPr>
                <w:rFonts w:ascii="Century Gothic" w:hAnsi="Century Gothic"/>
                <w:color w:val="000000"/>
                <w:bdr w:val="none" w:sz="0" w:space="0" w:color="auto" w:frame="1"/>
              </w:rPr>
              <w:t>April 30</w:t>
            </w:r>
            <w:r w:rsidR="00FF6A8D" w:rsidRPr="00FF6A8D">
              <w:rPr>
                <w:rFonts w:ascii="Century Gothic" w:hAnsi="Century Gothic"/>
                <w:color w:val="000000"/>
                <w:bdr w:val="none" w:sz="0" w:space="0" w:color="auto" w:frame="1"/>
                <w:vertAlign w:val="superscript"/>
              </w:rPr>
              <w:t>th</w:t>
            </w:r>
            <w:r w:rsidRPr="00D27668">
              <w:rPr>
                <w:rFonts w:ascii="Century Gothic" w:hAnsi="Century Gothic"/>
                <w:color w:val="000000"/>
                <w:bdr w:val="none" w:sz="0" w:space="0" w:color="auto" w:frame="1"/>
              </w:rPr>
              <w:t>, 202</w:t>
            </w:r>
            <w:r w:rsidR="0018038C">
              <w:rPr>
                <w:rFonts w:ascii="Century Gothic" w:hAnsi="Century Gothic"/>
                <w:color w:val="000000"/>
                <w:bdr w:val="none" w:sz="0" w:space="0" w:color="auto" w:frame="1"/>
              </w:rPr>
              <w:t>5</w:t>
            </w:r>
          </w:p>
        </w:tc>
      </w:tr>
      <w:tr w:rsidR="00DF5653" w:rsidRPr="00D27668" w14:paraId="31FB2195" w14:textId="77777777" w:rsidTr="00DF24A3">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8F8F8"/>
            <w:tcMar>
              <w:top w:w="100" w:type="dxa"/>
              <w:left w:w="100" w:type="dxa"/>
              <w:bottom w:w="100" w:type="dxa"/>
              <w:right w:w="100" w:type="dxa"/>
            </w:tcMar>
            <w:hideMark/>
          </w:tcPr>
          <w:p w14:paraId="031972A1" w14:textId="77777777" w:rsidR="00F168DC" w:rsidRPr="00D27668" w:rsidRDefault="00F168DC" w:rsidP="00DF24A3">
            <w:r w:rsidRPr="00D27668">
              <w:rPr>
                <w:rFonts w:ascii="Century Gothic" w:hAnsi="Century Gothic"/>
                <w:color w:val="000000"/>
                <w:bdr w:val="none" w:sz="0" w:space="0" w:color="auto" w:frame="1"/>
              </w:rPr>
              <w:t>Notifications of assignment:</w:t>
            </w:r>
          </w:p>
        </w:tc>
        <w:tc>
          <w:tcPr>
            <w:tcW w:w="0" w:type="auto"/>
            <w:tcBorders>
              <w:top w:val="single" w:sz="8" w:space="0" w:color="000000"/>
              <w:left w:val="single" w:sz="8" w:space="0" w:color="000000"/>
              <w:bottom w:val="single" w:sz="8" w:space="0" w:color="000000"/>
              <w:right w:val="single" w:sz="8" w:space="0" w:color="000000"/>
            </w:tcBorders>
            <w:shd w:val="clear" w:color="auto" w:fill="F8F8F8"/>
            <w:tcMar>
              <w:top w:w="100" w:type="dxa"/>
              <w:left w:w="100" w:type="dxa"/>
              <w:bottom w:w="100" w:type="dxa"/>
              <w:right w:w="100" w:type="dxa"/>
            </w:tcMar>
            <w:hideMark/>
          </w:tcPr>
          <w:p w14:paraId="024F2996" w14:textId="5F198344" w:rsidR="00F168DC" w:rsidRPr="00D27668" w:rsidRDefault="0018038C" w:rsidP="00DF24A3">
            <w:r>
              <w:rPr>
                <w:rFonts w:ascii="Century Gothic" w:hAnsi="Century Gothic"/>
                <w:color w:val="000000"/>
                <w:bdr w:val="none" w:sz="0" w:space="0" w:color="auto" w:frame="1"/>
              </w:rPr>
              <w:t>Ma</w:t>
            </w:r>
            <w:r w:rsidR="00FF6A8D">
              <w:rPr>
                <w:rFonts w:ascii="Century Gothic" w:hAnsi="Century Gothic"/>
                <w:color w:val="000000"/>
                <w:bdr w:val="none" w:sz="0" w:space="0" w:color="auto" w:frame="1"/>
              </w:rPr>
              <w:t>y 1</w:t>
            </w:r>
            <w:r w:rsidR="00FF6A8D" w:rsidRPr="00FF6A8D">
              <w:rPr>
                <w:rFonts w:ascii="Century Gothic" w:hAnsi="Century Gothic"/>
                <w:color w:val="000000"/>
                <w:bdr w:val="none" w:sz="0" w:space="0" w:color="auto" w:frame="1"/>
                <w:vertAlign w:val="superscript"/>
              </w:rPr>
              <w:t>st</w:t>
            </w:r>
            <w:r w:rsidR="00F168DC" w:rsidRPr="00D27668">
              <w:rPr>
                <w:rFonts w:ascii="Century Gothic" w:hAnsi="Century Gothic"/>
                <w:color w:val="000000"/>
                <w:bdr w:val="none" w:sz="0" w:space="0" w:color="auto" w:frame="1"/>
              </w:rPr>
              <w:t>, 202</w:t>
            </w:r>
            <w:r>
              <w:rPr>
                <w:rFonts w:ascii="Century Gothic" w:hAnsi="Century Gothic"/>
                <w:color w:val="000000"/>
                <w:bdr w:val="none" w:sz="0" w:space="0" w:color="auto" w:frame="1"/>
              </w:rPr>
              <w:t>5</w:t>
            </w:r>
            <w:r w:rsidR="00F168DC" w:rsidRPr="00D27668">
              <w:rPr>
                <w:rFonts w:ascii="Century Gothic" w:hAnsi="Century Gothic"/>
                <w:color w:val="000000"/>
                <w:bdr w:val="none" w:sz="0" w:space="0" w:color="auto" w:frame="1"/>
              </w:rPr>
              <w:t xml:space="preserve"> </w:t>
            </w:r>
            <w:r w:rsidR="00FF6A8D">
              <w:rPr>
                <w:rFonts w:ascii="Century Gothic" w:hAnsi="Century Gothic"/>
                <w:color w:val="000000"/>
                <w:bdr w:val="none" w:sz="0" w:space="0" w:color="auto" w:frame="1"/>
              </w:rPr>
              <w:t>–</w:t>
            </w:r>
            <w:r w:rsidR="00F168DC" w:rsidRPr="00D27668">
              <w:rPr>
                <w:rFonts w:ascii="Century Gothic" w:hAnsi="Century Gothic"/>
                <w:color w:val="000000"/>
                <w:bdr w:val="none" w:sz="0" w:space="0" w:color="auto" w:frame="1"/>
              </w:rPr>
              <w:t xml:space="preserve"> </w:t>
            </w:r>
            <w:r w:rsidR="00FF6A8D">
              <w:rPr>
                <w:rFonts w:ascii="Century Gothic" w:hAnsi="Century Gothic"/>
                <w:color w:val="000000"/>
                <w:bdr w:val="none" w:sz="0" w:space="0" w:color="auto" w:frame="1"/>
              </w:rPr>
              <w:t>May 6</w:t>
            </w:r>
            <w:r w:rsidR="00FF6A8D" w:rsidRPr="00FF6A8D">
              <w:rPr>
                <w:rFonts w:ascii="Century Gothic" w:hAnsi="Century Gothic"/>
                <w:color w:val="000000"/>
                <w:bdr w:val="none" w:sz="0" w:space="0" w:color="auto" w:frame="1"/>
                <w:vertAlign w:val="superscript"/>
              </w:rPr>
              <w:t>th</w:t>
            </w:r>
            <w:r w:rsidR="00F168DC" w:rsidRPr="00D27668">
              <w:rPr>
                <w:rFonts w:ascii="Century Gothic" w:hAnsi="Century Gothic"/>
                <w:color w:val="000000"/>
                <w:bdr w:val="none" w:sz="0" w:space="0" w:color="auto" w:frame="1"/>
              </w:rPr>
              <w:t>, 202</w:t>
            </w:r>
            <w:r>
              <w:rPr>
                <w:rFonts w:ascii="Century Gothic" w:hAnsi="Century Gothic"/>
                <w:color w:val="000000"/>
                <w:bdr w:val="none" w:sz="0" w:space="0" w:color="auto" w:frame="1"/>
              </w:rPr>
              <w:t>5</w:t>
            </w:r>
          </w:p>
        </w:tc>
      </w:tr>
      <w:tr w:rsidR="00DF5653" w:rsidRPr="00D27668" w14:paraId="73FB7DD2" w14:textId="77777777" w:rsidTr="00DF24A3">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8F8F8"/>
            <w:tcMar>
              <w:top w:w="100" w:type="dxa"/>
              <w:left w:w="100" w:type="dxa"/>
              <w:bottom w:w="100" w:type="dxa"/>
              <w:right w:w="100" w:type="dxa"/>
            </w:tcMar>
            <w:hideMark/>
          </w:tcPr>
          <w:p w14:paraId="0A44238D" w14:textId="77777777" w:rsidR="00F168DC" w:rsidRPr="00D27668" w:rsidRDefault="00F168DC" w:rsidP="00DF24A3">
            <w:r w:rsidRPr="00D27668">
              <w:rPr>
                <w:rFonts w:ascii="Century Gothic" w:hAnsi="Century Gothic"/>
                <w:color w:val="000000"/>
                <w:bdr w:val="none" w:sz="0" w:space="0" w:color="auto" w:frame="1"/>
              </w:rPr>
              <w:t>Worksite Supervisor &amp; Applicant Intros, Scheduling and Logistics</w:t>
            </w:r>
          </w:p>
        </w:tc>
        <w:tc>
          <w:tcPr>
            <w:tcW w:w="0" w:type="auto"/>
            <w:tcBorders>
              <w:top w:val="single" w:sz="8" w:space="0" w:color="000000"/>
              <w:left w:val="single" w:sz="8" w:space="0" w:color="000000"/>
              <w:bottom w:val="single" w:sz="8" w:space="0" w:color="000000"/>
              <w:right w:val="single" w:sz="8" w:space="0" w:color="000000"/>
            </w:tcBorders>
            <w:shd w:val="clear" w:color="auto" w:fill="F8F8F8"/>
            <w:tcMar>
              <w:top w:w="100" w:type="dxa"/>
              <w:left w:w="100" w:type="dxa"/>
              <w:bottom w:w="100" w:type="dxa"/>
              <w:right w:w="100" w:type="dxa"/>
            </w:tcMar>
            <w:hideMark/>
          </w:tcPr>
          <w:p w14:paraId="73147C8F" w14:textId="0819EB11" w:rsidR="00F168DC" w:rsidRPr="00D27668" w:rsidRDefault="00E65B94" w:rsidP="00DF24A3">
            <w:r>
              <w:rPr>
                <w:rFonts w:ascii="Century Gothic" w:hAnsi="Century Gothic"/>
                <w:color w:val="000000"/>
                <w:bdr w:val="none" w:sz="0" w:space="0" w:color="auto" w:frame="1"/>
              </w:rPr>
              <w:t>Ma</w:t>
            </w:r>
            <w:r w:rsidR="00FF6A8D">
              <w:rPr>
                <w:rFonts w:ascii="Century Gothic" w:hAnsi="Century Gothic"/>
                <w:color w:val="000000"/>
                <w:bdr w:val="none" w:sz="0" w:space="0" w:color="auto" w:frame="1"/>
              </w:rPr>
              <w:t>y</w:t>
            </w:r>
            <w:r>
              <w:rPr>
                <w:rFonts w:ascii="Century Gothic" w:hAnsi="Century Gothic"/>
                <w:color w:val="000000"/>
                <w:bdr w:val="none" w:sz="0" w:space="0" w:color="auto" w:frame="1"/>
              </w:rPr>
              <w:t xml:space="preserve"> </w:t>
            </w:r>
            <w:r w:rsidR="00FF6A8D">
              <w:rPr>
                <w:rFonts w:ascii="Century Gothic" w:hAnsi="Century Gothic"/>
                <w:color w:val="000000"/>
                <w:bdr w:val="none" w:sz="0" w:space="0" w:color="auto" w:frame="1"/>
              </w:rPr>
              <w:t>12</w:t>
            </w:r>
            <w:r w:rsidR="00FF6A8D" w:rsidRPr="00FF6A8D">
              <w:rPr>
                <w:rFonts w:ascii="Century Gothic" w:hAnsi="Century Gothic"/>
                <w:color w:val="000000"/>
                <w:bdr w:val="none" w:sz="0" w:space="0" w:color="auto" w:frame="1"/>
                <w:vertAlign w:val="superscript"/>
              </w:rPr>
              <w:t>t</w:t>
            </w:r>
            <w:r w:rsidRPr="00FF6A8D">
              <w:rPr>
                <w:rFonts w:ascii="Century Gothic" w:hAnsi="Century Gothic"/>
                <w:color w:val="000000"/>
                <w:bdr w:val="none" w:sz="0" w:space="0" w:color="auto" w:frame="1"/>
                <w:vertAlign w:val="superscript"/>
              </w:rPr>
              <w:t>h</w:t>
            </w:r>
            <w:r w:rsidR="00F168DC" w:rsidRPr="00D27668">
              <w:rPr>
                <w:rFonts w:ascii="Century Gothic" w:hAnsi="Century Gothic"/>
                <w:color w:val="000000"/>
                <w:bdr w:val="none" w:sz="0" w:space="0" w:color="auto" w:frame="1"/>
              </w:rPr>
              <w:t>, 202</w:t>
            </w:r>
            <w:r>
              <w:rPr>
                <w:rFonts w:ascii="Century Gothic" w:hAnsi="Century Gothic"/>
                <w:color w:val="000000"/>
                <w:bdr w:val="none" w:sz="0" w:space="0" w:color="auto" w:frame="1"/>
              </w:rPr>
              <w:t>5</w:t>
            </w:r>
            <w:r w:rsidR="00F168DC" w:rsidRPr="00D27668">
              <w:rPr>
                <w:rFonts w:ascii="Century Gothic" w:hAnsi="Century Gothic"/>
                <w:color w:val="000000"/>
                <w:bdr w:val="none" w:sz="0" w:space="0" w:color="auto" w:frame="1"/>
              </w:rPr>
              <w:t xml:space="preserve"> </w:t>
            </w:r>
            <w:r w:rsidR="0018038C">
              <w:rPr>
                <w:rFonts w:ascii="Century Gothic" w:hAnsi="Century Gothic"/>
                <w:color w:val="000000"/>
                <w:bdr w:val="none" w:sz="0" w:space="0" w:color="auto" w:frame="1"/>
              </w:rPr>
              <w:t>–</w:t>
            </w:r>
            <w:r w:rsidR="00F168DC" w:rsidRPr="00D27668">
              <w:rPr>
                <w:rFonts w:ascii="Century Gothic" w:hAnsi="Century Gothic"/>
                <w:color w:val="000000"/>
                <w:bdr w:val="none" w:sz="0" w:space="0" w:color="auto" w:frame="1"/>
              </w:rPr>
              <w:t> </w:t>
            </w:r>
            <w:r w:rsidR="0018038C">
              <w:rPr>
                <w:rFonts w:ascii="Century Gothic" w:hAnsi="Century Gothic"/>
                <w:color w:val="000000"/>
                <w:bdr w:val="none" w:sz="0" w:space="0" w:color="auto" w:frame="1"/>
              </w:rPr>
              <w:t>Ma</w:t>
            </w:r>
            <w:r w:rsidR="00FF6A8D">
              <w:rPr>
                <w:rFonts w:ascii="Century Gothic" w:hAnsi="Century Gothic"/>
                <w:color w:val="000000"/>
                <w:bdr w:val="none" w:sz="0" w:space="0" w:color="auto" w:frame="1"/>
              </w:rPr>
              <w:t>y 30</w:t>
            </w:r>
            <w:r w:rsidRPr="00E65B94">
              <w:rPr>
                <w:rFonts w:ascii="Century Gothic" w:hAnsi="Century Gothic"/>
                <w:color w:val="000000"/>
                <w:bdr w:val="none" w:sz="0" w:space="0" w:color="auto" w:frame="1"/>
                <w:vertAlign w:val="superscript"/>
              </w:rPr>
              <w:t>th</w:t>
            </w:r>
            <w:r w:rsidR="00F168DC" w:rsidRPr="00D27668">
              <w:rPr>
                <w:rFonts w:ascii="Century Gothic" w:hAnsi="Century Gothic"/>
                <w:color w:val="000000"/>
                <w:bdr w:val="none" w:sz="0" w:space="0" w:color="auto" w:frame="1"/>
              </w:rPr>
              <w:t>, 202</w:t>
            </w:r>
            <w:r>
              <w:rPr>
                <w:rFonts w:ascii="Century Gothic" w:hAnsi="Century Gothic"/>
                <w:color w:val="000000"/>
                <w:bdr w:val="none" w:sz="0" w:space="0" w:color="auto" w:frame="1"/>
              </w:rPr>
              <w:t>5</w:t>
            </w:r>
          </w:p>
        </w:tc>
      </w:tr>
      <w:tr w:rsidR="00DF5653" w:rsidRPr="00D27668" w14:paraId="3548502B" w14:textId="77777777" w:rsidTr="00DF24A3">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8F8F8"/>
            <w:tcMar>
              <w:top w:w="100" w:type="dxa"/>
              <w:left w:w="100" w:type="dxa"/>
              <w:bottom w:w="100" w:type="dxa"/>
              <w:right w:w="100" w:type="dxa"/>
            </w:tcMar>
            <w:hideMark/>
          </w:tcPr>
          <w:p w14:paraId="1216D582" w14:textId="18EB0EC8" w:rsidR="00F168DC" w:rsidRPr="00D27668" w:rsidRDefault="00DF5653" w:rsidP="00DF24A3">
            <w:r>
              <w:rPr>
                <w:rFonts w:ascii="Century Gothic" w:hAnsi="Century Gothic"/>
                <w:color w:val="000000"/>
                <w:bdr w:val="none" w:sz="0" w:space="0" w:color="auto" w:frame="1"/>
              </w:rPr>
              <w:t>Summer</w:t>
            </w:r>
            <w:r w:rsidR="00FF6A8D">
              <w:rPr>
                <w:rFonts w:ascii="Century Gothic" w:hAnsi="Century Gothic"/>
                <w:color w:val="000000"/>
                <w:bdr w:val="none" w:sz="0" w:space="0" w:color="auto" w:frame="1"/>
              </w:rPr>
              <w:t>/Fall</w:t>
            </w:r>
            <w:r>
              <w:rPr>
                <w:rFonts w:ascii="Century Gothic" w:hAnsi="Century Gothic"/>
                <w:color w:val="000000"/>
                <w:bdr w:val="none" w:sz="0" w:space="0" w:color="auto" w:frame="1"/>
              </w:rPr>
              <w:t xml:space="preserve"> </w:t>
            </w:r>
            <w:r w:rsidR="00F168DC" w:rsidRPr="00D27668">
              <w:rPr>
                <w:rFonts w:ascii="Century Gothic" w:hAnsi="Century Gothic"/>
                <w:color w:val="000000"/>
                <w:bdr w:val="none" w:sz="0" w:space="0" w:color="auto" w:frame="1"/>
              </w:rPr>
              <w:t>Work Period</w:t>
            </w:r>
          </w:p>
        </w:tc>
        <w:tc>
          <w:tcPr>
            <w:tcW w:w="0" w:type="auto"/>
            <w:tcBorders>
              <w:top w:val="single" w:sz="8" w:space="0" w:color="000000"/>
              <w:left w:val="single" w:sz="8" w:space="0" w:color="000000"/>
              <w:bottom w:val="single" w:sz="8" w:space="0" w:color="000000"/>
              <w:right w:val="single" w:sz="8" w:space="0" w:color="000000"/>
            </w:tcBorders>
            <w:shd w:val="clear" w:color="auto" w:fill="F8F8F8"/>
            <w:tcMar>
              <w:top w:w="100" w:type="dxa"/>
              <w:left w:w="100" w:type="dxa"/>
              <w:bottom w:w="100" w:type="dxa"/>
              <w:right w:w="100" w:type="dxa"/>
            </w:tcMar>
            <w:hideMark/>
          </w:tcPr>
          <w:p w14:paraId="11098537" w14:textId="343FEC95" w:rsidR="00F168DC" w:rsidRPr="00D27668" w:rsidRDefault="00F168DC" w:rsidP="00DF24A3">
            <w:r w:rsidRPr="00D27668">
              <w:rPr>
                <w:rFonts w:ascii="Century Gothic" w:hAnsi="Century Gothic"/>
                <w:color w:val="000000"/>
                <w:bdr w:val="none" w:sz="0" w:space="0" w:color="auto" w:frame="1"/>
              </w:rPr>
              <w:t> </w:t>
            </w:r>
            <w:r w:rsidR="00FF6A8D">
              <w:rPr>
                <w:rFonts w:ascii="Century Gothic" w:hAnsi="Century Gothic"/>
                <w:color w:val="000000"/>
                <w:bdr w:val="none" w:sz="0" w:space="0" w:color="auto" w:frame="1"/>
              </w:rPr>
              <w:t>July 1</w:t>
            </w:r>
            <w:r w:rsidR="0018038C" w:rsidRPr="0018038C">
              <w:rPr>
                <w:rFonts w:ascii="Century Gothic" w:hAnsi="Century Gothic"/>
                <w:color w:val="000000"/>
                <w:bdr w:val="none" w:sz="0" w:space="0" w:color="auto" w:frame="1"/>
                <w:vertAlign w:val="superscript"/>
              </w:rPr>
              <w:t>st</w:t>
            </w:r>
            <w:r w:rsidRPr="00D27668">
              <w:rPr>
                <w:rFonts w:ascii="Century Gothic" w:hAnsi="Century Gothic"/>
                <w:color w:val="000000"/>
                <w:bdr w:val="none" w:sz="0" w:space="0" w:color="auto" w:frame="1"/>
              </w:rPr>
              <w:t>, 202</w:t>
            </w:r>
            <w:r w:rsidR="0018038C">
              <w:rPr>
                <w:rFonts w:ascii="Century Gothic" w:hAnsi="Century Gothic"/>
                <w:color w:val="000000"/>
                <w:bdr w:val="none" w:sz="0" w:space="0" w:color="auto" w:frame="1"/>
              </w:rPr>
              <w:t>5</w:t>
            </w:r>
            <w:r w:rsidRPr="00D27668">
              <w:rPr>
                <w:rFonts w:ascii="Century Gothic" w:hAnsi="Century Gothic"/>
                <w:color w:val="000000"/>
                <w:bdr w:val="none" w:sz="0" w:space="0" w:color="auto" w:frame="1"/>
              </w:rPr>
              <w:t> </w:t>
            </w:r>
            <w:r w:rsidR="0018038C">
              <w:rPr>
                <w:rFonts w:ascii="Century Gothic" w:hAnsi="Century Gothic"/>
                <w:color w:val="000000"/>
                <w:bdr w:val="none" w:sz="0" w:space="0" w:color="auto" w:frame="1"/>
              </w:rPr>
              <w:t>–</w:t>
            </w:r>
            <w:r w:rsidRPr="00D27668">
              <w:rPr>
                <w:rFonts w:ascii="Century Gothic" w:hAnsi="Century Gothic"/>
                <w:color w:val="000000"/>
                <w:bdr w:val="none" w:sz="0" w:space="0" w:color="auto" w:frame="1"/>
              </w:rPr>
              <w:t> </w:t>
            </w:r>
            <w:r w:rsidR="00FF6A8D">
              <w:rPr>
                <w:rFonts w:ascii="Century Gothic" w:hAnsi="Century Gothic"/>
                <w:color w:val="000000"/>
                <w:bdr w:val="none" w:sz="0" w:space="0" w:color="auto" w:frame="1"/>
              </w:rPr>
              <w:t>October 1sr</w:t>
            </w:r>
            <w:r w:rsidRPr="00D27668">
              <w:rPr>
                <w:rFonts w:ascii="Century Gothic" w:hAnsi="Century Gothic"/>
                <w:color w:val="000000"/>
                <w:bdr w:val="none" w:sz="0" w:space="0" w:color="auto" w:frame="1"/>
              </w:rPr>
              <w:t>, 202</w:t>
            </w:r>
            <w:r w:rsidR="0018038C">
              <w:rPr>
                <w:rFonts w:ascii="Century Gothic" w:hAnsi="Century Gothic"/>
                <w:color w:val="000000"/>
                <w:bdr w:val="none" w:sz="0" w:space="0" w:color="auto" w:frame="1"/>
              </w:rPr>
              <w:t>5</w:t>
            </w:r>
          </w:p>
        </w:tc>
      </w:tr>
      <w:tr w:rsidR="00DF5653" w:rsidRPr="00D27668" w14:paraId="727E44FD" w14:textId="77777777" w:rsidTr="00DF24A3">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8F8F8"/>
            <w:tcMar>
              <w:top w:w="100" w:type="dxa"/>
              <w:left w:w="100" w:type="dxa"/>
              <w:bottom w:w="100" w:type="dxa"/>
              <w:right w:w="100" w:type="dxa"/>
            </w:tcMar>
            <w:hideMark/>
          </w:tcPr>
          <w:p w14:paraId="32385C83" w14:textId="77777777" w:rsidR="00F168DC" w:rsidRPr="00D27668" w:rsidRDefault="00F168DC" w:rsidP="00DF24A3">
            <w:r w:rsidRPr="00D27668">
              <w:rPr>
                <w:rFonts w:ascii="Century Gothic" w:hAnsi="Century Gothic"/>
                <w:color w:val="000000"/>
                <w:bdr w:val="none" w:sz="0" w:space="0" w:color="auto" w:frame="1"/>
              </w:rPr>
              <w:t>Certification of Service to Assessor’s for processing</w:t>
            </w:r>
          </w:p>
        </w:tc>
        <w:tc>
          <w:tcPr>
            <w:tcW w:w="0" w:type="auto"/>
            <w:tcBorders>
              <w:top w:val="single" w:sz="8" w:space="0" w:color="000000"/>
              <w:left w:val="single" w:sz="8" w:space="0" w:color="000000"/>
              <w:bottom w:val="single" w:sz="8" w:space="0" w:color="000000"/>
              <w:right w:val="single" w:sz="8" w:space="0" w:color="000000"/>
            </w:tcBorders>
            <w:shd w:val="clear" w:color="auto" w:fill="F8F8F8"/>
            <w:tcMar>
              <w:top w:w="100" w:type="dxa"/>
              <w:left w:w="100" w:type="dxa"/>
              <w:bottom w:w="100" w:type="dxa"/>
              <w:right w:w="100" w:type="dxa"/>
            </w:tcMar>
            <w:hideMark/>
          </w:tcPr>
          <w:p w14:paraId="3741CDBB" w14:textId="677ED1A1" w:rsidR="00F168DC" w:rsidRPr="00D27668" w:rsidRDefault="00F168DC" w:rsidP="00DF24A3">
            <w:r w:rsidRPr="00D27668">
              <w:rPr>
                <w:rFonts w:ascii="Century Gothic" w:hAnsi="Century Gothic"/>
                <w:color w:val="000000"/>
                <w:bdr w:val="none" w:sz="0" w:space="0" w:color="auto" w:frame="1"/>
              </w:rPr>
              <w:t>By Dec 1, 202</w:t>
            </w:r>
            <w:r w:rsidR="00E65B94">
              <w:rPr>
                <w:rFonts w:ascii="Century Gothic" w:hAnsi="Century Gothic"/>
                <w:color w:val="000000"/>
                <w:bdr w:val="none" w:sz="0" w:space="0" w:color="auto" w:frame="1"/>
              </w:rPr>
              <w:t>5</w:t>
            </w:r>
          </w:p>
        </w:tc>
      </w:tr>
      <w:tr w:rsidR="00DF5653" w:rsidRPr="00D27668" w14:paraId="5484B1C1" w14:textId="77777777" w:rsidTr="00DF24A3">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8F8F8"/>
            <w:tcMar>
              <w:top w:w="100" w:type="dxa"/>
              <w:left w:w="100" w:type="dxa"/>
              <w:bottom w:w="100" w:type="dxa"/>
              <w:right w:w="100" w:type="dxa"/>
            </w:tcMar>
            <w:hideMark/>
          </w:tcPr>
          <w:p w14:paraId="712997BE" w14:textId="77777777" w:rsidR="00F168DC" w:rsidRPr="00D27668" w:rsidRDefault="00F168DC" w:rsidP="00DF24A3">
            <w:r w:rsidRPr="00D27668">
              <w:rPr>
                <w:rFonts w:ascii="Century Gothic" w:hAnsi="Century Gothic"/>
                <w:color w:val="000000"/>
                <w:bdr w:val="none" w:sz="0" w:space="0" w:color="auto" w:frame="1"/>
              </w:rPr>
              <w:t>Tax Credit Appears on Statement</w:t>
            </w:r>
          </w:p>
        </w:tc>
        <w:tc>
          <w:tcPr>
            <w:tcW w:w="0" w:type="auto"/>
            <w:tcBorders>
              <w:top w:val="single" w:sz="8" w:space="0" w:color="000000"/>
              <w:left w:val="single" w:sz="8" w:space="0" w:color="000000"/>
              <w:bottom w:val="single" w:sz="8" w:space="0" w:color="000000"/>
              <w:right w:val="single" w:sz="8" w:space="0" w:color="000000"/>
            </w:tcBorders>
            <w:shd w:val="clear" w:color="auto" w:fill="F8F8F8"/>
            <w:tcMar>
              <w:top w:w="100" w:type="dxa"/>
              <w:left w:w="100" w:type="dxa"/>
              <w:bottom w:w="100" w:type="dxa"/>
              <w:right w:w="100" w:type="dxa"/>
            </w:tcMar>
            <w:hideMark/>
          </w:tcPr>
          <w:p w14:paraId="63AF3B59" w14:textId="7FAE2C21" w:rsidR="00F168DC" w:rsidRPr="00D27668" w:rsidRDefault="00F168DC" w:rsidP="00DF24A3">
            <w:r w:rsidRPr="00D27668">
              <w:rPr>
                <w:rFonts w:ascii="Century Gothic" w:hAnsi="Century Gothic"/>
                <w:color w:val="000000"/>
                <w:bdr w:val="none" w:sz="0" w:space="0" w:color="auto" w:frame="1"/>
              </w:rPr>
              <w:t>January 1, 202</w:t>
            </w:r>
            <w:r w:rsidR="00097F32">
              <w:rPr>
                <w:rFonts w:ascii="Century Gothic" w:hAnsi="Century Gothic"/>
                <w:color w:val="000000"/>
                <w:bdr w:val="none" w:sz="0" w:space="0" w:color="auto" w:frame="1"/>
              </w:rPr>
              <w:t>6</w:t>
            </w:r>
          </w:p>
        </w:tc>
      </w:tr>
    </w:tbl>
    <w:p w14:paraId="15BC764C" w14:textId="67EB8536" w:rsidR="00F168DC" w:rsidRDefault="00F168DC"/>
    <w:p w14:paraId="7558EF6D" w14:textId="77777777" w:rsidR="00807E0C" w:rsidRDefault="00807E0C" w:rsidP="00807E0C"/>
    <w:p w14:paraId="6FE6202E" w14:textId="77777777" w:rsidR="00807E0C" w:rsidRPr="00807E0C" w:rsidRDefault="00807E0C" w:rsidP="00807E0C">
      <w:pPr>
        <w:rPr>
          <w:b/>
          <w:bCs/>
          <w:sz w:val="28"/>
          <w:szCs w:val="28"/>
        </w:rPr>
      </w:pPr>
      <w:r w:rsidRPr="00807E0C">
        <w:rPr>
          <w:b/>
          <w:bCs/>
          <w:sz w:val="28"/>
          <w:szCs w:val="28"/>
        </w:rPr>
        <w:t>Participant Eligibility: </w:t>
      </w:r>
    </w:p>
    <w:p w14:paraId="6A6D8104" w14:textId="792745C6" w:rsidR="00807E0C" w:rsidRPr="00807E0C" w:rsidRDefault="00807E0C" w:rsidP="00807E0C">
      <w:pPr>
        <w:numPr>
          <w:ilvl w:val="0"/>
          <w:numId w:val="2"/>
        </w:numPr>
        <w:shd w:val="clear" w:color="auto" w:fill="FFFFFF"/>
        <w:spacing w:before="100" w:beforeAutospacing="1" w:after="84"/>
        <w:rPr>
          <w:rFonts w:ascii="Poppins" w:hAnsi="Poppins" w:cs="Poppins"/>
          <w:color w:val="383838"/>
          <w:sz w:val="23"/>
          <w:szCs w:val="23"/>
        </w:rPr>
      </w:pPr>
      <w:r w:rsidRPr="00807E0C">
        <w:rPr>
          <w:rFonts w:ascii="Poppins" w:hAnsi="Poppins" w:cs="Poppins"/>
          <w:b/>
          <w:bCs/>
          <w:color w:val="383838"/>
          <w:sz w:val="23"/>
          <w:szCs w:val="23"/>
        </w:rPr>
        <w:t>Age</w:t>
      </w:r>
      <w:r w:rsidRPr="00807E0C">
        <w:rPr>
          <w:rFonts w:ascii="Poppins" w:hAnsi="Poppins" w:cs="Poppins"/>
          <w:color w:val="383838"/>
          <w:sz w:val="23"/>
          <w:szCs w:val="23"/>
        </w:rPr>
        <w:t>: Be sixty (6</w:t>
      </w:r>
      <w:r w:rsidR="00DF5653">
        <w:rPr>
          <w:rFonts w:ascii="Poppins" w:hAnsi="Poppins" w:cs="Poppins"/>
          <w:color w:val="383838"/>
          <w:sz w:val="23"/>
          <w:szCs w:val="23"/>
        </w:rPr>
        <w:t>0</w:t>
      </w:r>
      <w:r w:rsidRPr="00807E0C">
        <w:rPr>
          <w:rFonts w:ascii="Poppins" w:hAnsi="Poppins" w:cs="Poppins"/>
          <w:color w:val="383838"/>
          <w:sz w:val="23"/>
          <w:szCs w:val="23"/>
        </w:rPr>
        <w:t xml:space="preserve">) years of age or older as of </w:t>
      </w:r>
      <w:r w:rsidR="003A6DBF">
        <w:rPr>
          <w:rFonts w:ascii="Poppins" w:hAnsi="Poppins" w:cs="Poppins"/>
          <w:color w:val="383838"/>
          <w:sz w:val="23"/>
          <w:szCs w:val="23"/>
        </w:rPr>
        <w:t>July 1</w:t>
      </w:r>
      <w:r w:rsidR="003A6DBF" w:rsidRPr="003A6DBF">
        <w:rPr>
          <w:rFonts w:ascii="Poppins" w:hAnsi="Poppins" w:cs="Poppins"/>
          <w:color w:val="383838"/>
          <w:sz w:val="23"/>
          <w:szCs w:val="23"/>
          <w:vertAlign w:val="superscript"/>
        </w:rPr>
        <w:t>st</w:t>
      </w:r>
      <w:r w:rsidR="003A6DBF">
        <w:rPr>
          <w:rFonts w:ascii="Poppins" w:hAnsi="Poppins" w:cs="Poppins"/>
          <w:color w:val="383838"/>
          <w:sz w:val="23"/>
          <w:szCs w:val="23"/>
        </w:rPr>
        <w:t xml:space="preserve"> 2025</w:t>
      </w:r>
      <w:r w:rsidRPr="00807E0C">
        <w:rPr>
          <w:rFonts w:ascii="Poppins" w:hAnsi="Poppins" w:cs="Poppins"/>
          <w:color w:val="383838"/>
          <w:sz w:val="23"/>
          <w:szCs w:val="23"/>
        </w:rPr>
        <w:t>.</w:t>
      </w:r>
    </w:p>
    <w:p w14:paraId="05FB5D7C" w14:textId="77777777" w:rsidR="00807E0C" w:rsidRPr="00807E0C" w:rsidRDefault="00807E0C" w:rsidP="00807E0C">
      <w:pPr>
        <w:numPr>
          <w:ilvl w:val="0"/>
          <w:numId w:val="2"/>
        </w:numPr>
        <w:shd w:val="clear" w:color="auto" w:fill="FFFFFF"/>
        <w:spacing w:before="100" w:beforeAutospacing="1" w:after="84"/>
        <w:rPr>
          <w:rFonts w:ascii="Poppins" w:hAnsi="Poppins" w:cs="Poppins"/>
          <w:color w:val="383838"/>
          <w:sz w:val="23"/>
          <w:szCs w:val="23"/>
        </w:rPr>
      </w:pPr>
      <w:r w:rsidRPr="00807E0C">
        <w:rPr>
          <w:rFonts w:ascii="Poppins" w:hAnsi="Poppins" w:cs="Poppins"/>
          <w:b/>
          <w:bCs/>
          <w:color w:val="383838"/>
          <w:sz w:val="23"/>
          <w:szCs w:val="23"/>
        </w:rPr>
        <w:lastRenderedPageBreak/>
        <w:t>Property Owner</w:t>
      </w:r>
      <w:r w:rsidRPr="00807E0C">
        <w:rPr>
          <w:rFonts w:ascii="Poppins" w:hAnsi="Poppins" w:cs="Poppins"/>
          <w:color w:val="383838"/>
          <w:sz w:val="23"/>
          <w:szCs w:val="23"/>
        </w:rPr>
        <w:t>: Be the property owner, and the property for which the abatement or credit is to be applied must be their primary residence; or be the current spouse of such homeowner residing in the same household. Only one (1) tax credit per household per fiscal year is allowed. "Ownership" means the assessed owner of the property on which the tax to be credited is assessed, or have acquired ownership by July 1 of the year before the work is to be started and the credit applied. If the property is subject to a trust, the senior must have legal title (be one of the trustees), before the work is performed and the credit applied.</w:t>
      </w:r>
    </w:p>
    <w:p w14:paraId="173E0829" w14:textId="77777777" w:rsidR="00807E0C" w:rsidRPr="00807E0C" w:rsidRDefault="00807E0C" w:rsidP="00807E0C">
      <w:pPr>
        <w:numPr>
          <w:ilvl w:val="0"/>
          <w:numId w:val="2"/>
        </w:numPr>
        <w:shd w:val="clear" w:color="auto" w:fill="FFFFFF"/>
        <w:spacing w:before="100" w:beforeAutospacing="1" w:after="84"/>
        <w:rPr>
          <w:rFonts w:ascii="Poppins" w:hAnsi="Poppins" w:cs="Poppins"/>
          <w:color w:val="383838"/>
          <w:sz w:val="23"/>
          <w:szCs w:val="23"/>
        </w:rPr>
      </w:pPr>
      <w:r w:rsidRPr="00807E0C">
        <w:rPr>
          <w:rFonts w:ascii="Poppins" w:hAnsi="Poppins" w:cs="Poppins"/>
          <w:b/>
          <w:bCs/>
          <w:color w:val="383838"/>
          <w:sz w:val="23"/>
          <w:szCs w:val="23"/>
        </w:rPr>
        <w:t>Income Restrictions</w:t>
      </w:r>
      <w:r w:rsidRPr="00807E0C">
        <w:rPr>
          <w:rFonts w:ascii="Poppins" w:hAnsi="Poppins" w:cs="Poppins"/>
          <w:color w:val="383838"/>
          <w:sz w:val="23"/>
          <w:szCs w:val="23"/>
        </w:rPr>
        <w:t>: Applicants must certify that their income does not exceed the limits set by the</w:t>
      </w:r>
      <w:hyperlink r:id="rId7" w:anchor="who-is-and-isn't-eligible-" w:tgtFrame="_blank" w:history="1">
        <w:r w:rsidRPr="00807E0C">
          <w:rPr>
            <w:rFonts w:ascii="Poppins" w:hAnsi="Poppins" w:cs="Poppins"/>
            <w:color w:val="A52E23"/>
            <w:sz w:val="23"/>
            <w:szCs w:val="23"/>
            <w:u w:val="single"/>
          </w:rPr>
          <w:t> Massachusetts Circuit Breaker Tax Credit</w:t>
        </w:r>
      </w:hyperlink>
      <w:r w:rsidRPr="00807E0C">
        <w:rPr>
          <w:rFonts w:ascii="Poppins" w:hAnsi="Poppins" w:cs="Poppins"/>
          <w:color w:val="383838"/>
          <w:sz w:val="23"/>
          <w:szCs w:val="23"/>
        </w:rPr>
        <w:t>*, which are currently</w:t>
      </w:r>
    </w:p>
    <w:p w14:paraId="51625137" w14:textId="43D29AB3" w:rsidR="00807E0C" w:rsidRDefault="00807E0C"/>
    <w:p w14:paraId="01859834" w14:textId="77777777" w:rsidR="00807E0C" w:rsidRDefault="00807E0C"/>
    <w:tbl>
      <w:tblPr>
        <w:tblW w:w="7470" w:type="dxa"/>
        <w:tblInd w:w="534" w:type="dxa"/>
        <w:shd w:val="clear" w:color="auto" w:fill="F8F8F8"/>
        <w:tblCellMar>
          <w:top w:w="15" w:type="dxa"/>
          <w:left w:w="15" w:type="dxa"/>
          <w:bottom w:w="15" w:type="dxa"/>
          <w:right w:w="15" w:type="dxa"/>
        </w:tblCellMar>
        <w:tblLook w:val="04A0" w:firstRow="1" w:lastRow="0" w:firstColumn="1" w:lastColumn="0" w:noHBand="0" w:noVBand="1"/>
      </w:tblPr>
      <w:tblGrid>
        <w:gridCol w:w="1715"/>
        <w:gridCol w:w="5755"/>
      </w:tblGrid>
      <w:tr w:rsidR="00F168DC" w:rsidRPr="004F4273" w14:paraId="3A753C1D" w14:textId="77777777" w:rsidTr="00C748F3">
        <w:trPr>
          <w:tblHeader/>
        </w:trPr>
        <w:tc>
          <w:tcPr>
            <w:tcW w:w="7470" w:type="dxa"/>
            <w:gridSpan w:val="2"/>
            <w:tcBorders>
              <w:top w:val="single" w:sz="6" w:space="0" w:color="333333"/>
              <w:left w:val="single" w:sz="6" w:space="0" w:color="333333"/>
              <w:bottom w:val="single" w:sz="6" w:space="0" w:color="333333"/>
              <w:right w:val="single" w:sz="6" w:space="0" w:color="333333"/>
            </w:tcBorders>
            <w:shd w:val="clear" w:color="auto" w:fill="21557D"/>
            <w:tcMar>
              <w:top w:w="84" w:type="dxa"/>
              <w:left w:w="84" w:type="dxa"/>
              <w:bottom w:w="84" w:type="dxa"/>
              <w:right w:w="84" w:type="dxa"/>
            </w:tcMar>
            <w:vAlign w:val="center"/>
            <w:hideMark/>
          </w:tcPr>
          <w:p w14:paraId="04F15C79" w14:textId="1C60835A" w:rsidR="00F168DC" w:rsidRPr="004F4273" w:rsidRDefault="00F168DC" w:rsidP="00DF24A3">
            <w:pPr>
              <w:jc w:val="center"/>
              <w:rPr>
                <w:rFonts w:ascii="Poppins" w:hAnsi="Poppins" w:cs="Poppins"/>
                <w:color w:val="FFFFFF"/>
                <w:sz w:val="23"/>
                <w:szCs w:val="23"/>
              </w:rPr>
            </w:pPr>
            <w:r w:rsidRPr="004F4273">
              <w:rPr>
                <w:rFonts w:ascii="Poppins" w:hAnsi="Poppins" w:cs="Poppins"/>
                <w:color w:val="FFFFFF"/>
                <w:sz w:val="23"/>
                <w:szCs w:val="23"/>
              </w:rPr>
              <w:t>For Tax Year 202</w:t>
            </w:r>
            <w:r>
              <w:rPr>
                <w:rFonts w:ascii="Poppins" w:hAnsi="Poppins" w:cs="Poppins"/>
                <w:color w:val="FFFFFF"/>
                <w:sz w:val="23"/>
                <w:szCs w:val="23"/>
              </w:rPr>
              <w:t>5</w:t>
            </w:r>
            <w:r w:rsidRPr="004F4273">
              <w:rPr>
                <w:rFonts w:ascii="Poppins" w:hAnsi="Poppins" w:cs="Poppins"/>
                <w:color w:val="FFFFFF"/>
                <w:sz w:val="23"/>
                <w:szCs w:val="23"/>
              </w:rPr>
              <w:t>, Massachusetts income must not exceed:</w:t>
            </w:r>
          </w:p>
        </w:tc>
      </w:tr>
      <w:tr w:rsidR="00F168DC" w:rsidRPr="004F4273" w14:paraId="4DE8FC5F" w14:textId="77777777" w:rsidTr="00C748F3">
        <w:tc>
          <w:tcPr>
            <w:tcW w:w="1715" w:type="dxa"/>
            <w:tcBorders>
              <w:top w:val="single" w:sz="6" w:space="0" w:color="333333"/>
              <w:left w:val="single" w:sz="6" w:space="0" w:color="333333"/>
              <w:bottom w:val="single" w:sz="6" w:space="0" w:color="333333"/>
              <w:right w:val="single" w:sz="6" w:space="0" w:color="333333"/>
            </w:tcBorders>
            <w:shd w:val="clear" w:color="auto" w:fill="F8F8F8"/>
            <w:tcMar>
              <w:top w:w="84" w:type="dxa"/>
              <w:left w:w="84" w:type="dxa"/>
              <w:bottom w:w="84" w:type="dxa"/>
              <w:right w:w="84" w:type="dxa"/>
            </w:tcMar>
            <w:hideMark/>
          </w:tcPr>
          <w:p w14:paraId="3E8FFA2E" w14:textId="170070E7" w:rsidR="00F168DC" w:rsidRPr="004F4273" w:rsidRDefault="00F168DC" w:rsidP="00DF24A3">
            <w:pPr>
              <w:jc w:val="center"/>
              <w:rPr>
                <w:rFonts w:ascii="Poppins" w:hAnsi="Poppins" w:cs="Poppins"/>
                <w:color w:val="383838"/>
                <w:sz w:val="23"/>
                <w:szCs w:val="23"/>
              </w:rPr>
            </w:pPr>
            <w:r w:rsidRPr="004F4273">
              <w:rPr>
                <w:rFonts w:ascii="Poppins" w:hAnsi="Poppins" w:cs="Poppins"/>
                <w:color w:val="383838"/>
                <w:sz w:val="23"/>
                <w:szCs w:val="23"/>
              </w:rPr>
              <w:t>$</w:t>
            </w:r>
            <w:r w:rsidR="002A6032">
              <w:rPr>
                <w:rFonts w:ascii="Poppins" w:hAnsi="Poppins" w:cs="Poppins"/>
                <w:color w:val="383838"/>
                <w:sz w:val="23"/>
                <w:szCs w:val="23"/>
              </w:rPr>
              <w:t>72</w:t>
            </w:r>
            <w:r w:rsidRPr="004F4273">
              <w:rPr>
                <w:rFonts w:ascii="Poppins" w:hAnsi="Poppins" w:cs="Poppins"/>
                <w:color w:val="383838"/>
                <w:sz w:val="23"/>
                <w:szCs w:val="23"/>
              </w:rPr>
              <w:t>,000</w:t>
            </w:r>
          </w:p>
        </w:tc>
        <w:tc>
          <w:tcPr>
            <w:tcW w:w="5755" w:type="dxa"/>
            <w:tcBorders>
              <w:top w:val="single" w:sz="6" w:space="0" w:color="333333"/>
              <w:left w:val="single" w:sz="6" w:space="0" w:color="333333"/>
              <w:bottom w:val="single" w:sz="6" w:space="0" w:color="333333"/>
              <w:right w:val="single" w:sz="6" w:space="0" w:color="333333"/>
            </w:tcBorders>
            <w:shd w:val="clear" w:color="auto" w:fill="F8F8F8"/>
            <w:tcMar>
              <w:top w:w="84" w:type="dxa"/>
              <w:left w:w="84" w:type="dxa"/>
              <w:bottom w:w="84" w:type="dxa"/>
              <w:right w:w="84" w:type="dxa"/>
            </w:tcMar>
            <w:hideMark/>
          </w:tcPr>
          <w:p w14:paraId="347D81CA" w14:textId="77777777" w:rsidR="00F168DC" w:rsidRPr="004F4273" w:rsidRDefault="00F168DC" w:rsidP="00DF24A3">
            <w:pPr>
              <w:jc w:val="center"/>
              <w:rPr>
                <w:rFonts w:ascii="Poppins" w:hAnsi="Poppins" w:cs="Poppins"/>
                <w:color w:val="383838"/>
                <w:sz w:val="23"/>
                <w:szCs w:val="23"/>
              </w:rPr>
            </w:pPr>
            <w:r w:rsidRPr="004F4273">
              <w:rPr>
                <w:rFonts w:ascii="Poppins" w:hAnsi="Poppins" w:cs="Poppins"/>
                <w:color w:val="383838"/>
                <w:sz w:val="23"/>
                <w:szCs w:val="23"/>
              </w:rPr>
              <w:t>Single Individual who is NOT head of household</w:t>
            </w:r>
          </w:p>
        </w:tc>
      </w:tr>
      <w:tr w:rsidR="00F168DC" w:rsidRPr="004F4273" w14:paraId="765A5131" w14:textId="77777777" w:rsidTr="00C748F3">
        <w:trPr>
          <w:trHeight w:val="378"/>
        </w:trPr>
        <w:tc>
          <w:tcPr>
            <w:tcW w:w="1715" w:type="dxa"/>
            <w:tcBorders>
              <w:top w:val="single" w:sz="6" w:space="0" w:color="333333"/>
              <w:left w:val="single" w:sz="6" w:space="0" w:color="333333"/>
              <w:bottom w:val="single" w:sz="6" w:space="0" w:color="333333"/>
              <w:right w:val="single" w:sz="6" w:space="0" w:color="333333"/>
            </w:tcBorders>
            <w:shd w:val="clear" w:color="auto" w:fill="F8F8F8"/>
            <w:tcMar>
              <w:top w:w="84" w:type="dxa"/>
              <w:left w:w="84" w:type="dxa"/>
              <w:bottom w:w="84" w:type="dxa"/>
              <w:right w:w="84" w:type="dxa"/>
            </w:tcMar>
            <w:hideMark/>
          </w:tcPr>
          <w:p w14:paraId="7E26A81E" w14:textId="2F342191" w:rsidR="00F168DC" w:rsidRPr="004F4273" w:rsidRDefault="00F168DC" w:rsidP="00DF24A3">
            <w:pPr>
              <w:jc w:val="center"/>
              <w:rPr>
                <w:rFonts w:ascii="Poppins" w:hAnsi="Poppins" w:cs="Poppins"/>
                <w:color w:val="383838"/>
                <w:sz w:val="23"/>
                <w:szCs w:val="23"/>
              </w:rPr>
            </w:pPr>
            <w:r w:rsidRPr="004F4273">
              <w:rPr>
                <w:rFonts w:ascii="Poppins" w:hAnsi="Poppins" w:cs="Poppins"/>
                <w:color w:val="383838"/>
                <w:sz w:val="23"/>
                <w:szCs w:val="23"/>
              </w:rPr>
              <w:t>$</w:t>
            </w:r>
            <w:r w:rsidR="002A6032">
              <w:rPr>
                <w:rFonts w:ascii="Poppins" w:hAnsi="Poppins" w:cs="Poppins"/>
                <w:color w:val="383838"/>
                <w:sz w:val="23"/>
                <w:szCs w:val="23"/>
              </w:rPr>
              <w:t>91</w:t>
            </w:r>
            <w:r w:rsidRPr="004F4273">
              <w:rPr>
                <w:rFonts w:ascii="Poppins" w:hAnsi="Poppins" w:cs="Poppins"/>
                <w:color w:val="383838"/>
                <w:sz w:val="23"/>
                <w:szCs w:val="23"/>
              </w:rPr>
              <w:t>,000</w:t>
            </w:r>
          </w:p>
        </w:tc>
        <w:tc>
          <w:tcPr>
            <w:tcW w:w="5755" w:type="dxa"/>
            <w:tcBorders>
              <w:top w:val="single" w:sz="6" w:space="0" w:color="333333"/>
              <w:left w:val="single" w:sz="6" w:space="0" w:color="333333"/>
              <w:bottom w:val="single" w:sz="6" w:space="0" w:color="333333"/>
              <w:right w:val="single" w:sz="6" w:space="0" w:color="333333"/>
            </w:tcBorders>
            <w:shd w:val="clear" w:color="auto" w:fill="F8F8F8"/>
            <w:tcMar>
              <w:top w:w="84" w:type="dxa"/>
              <w:left w:w="84" w:type="dxa"/>
              <w:bottom w:w="84" w:type="dxa"/>
              <w:right w:w="84" w:type="dxa"/>
            </w:tcMar>
            <w:hideMark/>
          </w:tcPr>
          <w:p w14:paraId="2C0C7E69" w14:textId="77777777" w:rsidR="00F168DC" w:rsidRPr="004F4273" w:rsidRDefault="00F168DC" w:rsidP="00DF24A3">
            <w:pPr>
              <w:jc w:val="center"/>
              <w:rPr>
                <w:rFonts w:ascii="Poppins" w:hAnsi="Poppins" w:cs="Poppins"/>
                <w:color w:val="383838"/>
                <w:sz w:val="23"/>
                <w:szCs w:val="23"/>
              </w:rPr>
            </w:pPr>
            <w:r w:rsidRPr="004F4273">
              <w:rPr>
                <w:rFonts w:ascii="Poppins" w:hAnsi="Poppins" w:cs="Poppins"/>
                <w:color w:val="383838"/>
                <w:sz w:val="23"/>
                <w:szCs w:val="23"/>
              </w:rPr>
              <w:t>Head of Household</w:t>
            </w:r>
          </w:p>
        </w:tc>
      </w:tr>
      <w:tr w:rsidR="00F168DC" w:rsidRPr="004F4273" w14:paraId="039A8A12" w14:textId="77777777" w:rsidTr="00C748F3">
        <w:trPr>
          <w:trHeight w:val="17"/>
        </w:trPr>
        <w:tc>
          <w:tcPr>
            <w:tcW w:w="1715" w:type="dxa"/>
            <w:tcBorders>
              <w:top w:val="single" w:sz="6" w:space="0" w:color="333333"/>
              <w:left w:val="single" w:sz="6" w:space="0" w:color="333333"/>
              <w:bottom w:val="single" w:sz="6" w:space="0" w:color="333333"/>
              <w:right w:val="single" w:sz="6" w:space="0" w:color="333333"/>
            </w:tcBorders>
            <w:shd w:val="clear" w:color="auto" w:fill="F8F8F8"/>
            <w:tcMar>
              <w:top w:w="84" w:type="dxa"/>
              <w:left w:w="84" w:type="dxa"/>
              <w:bottom w:w="84" w:type="dxa"/>
              <w:right w:w="84" w:type="dxa"/>
            </w:tcMar>
            <w:hideMark/>
          </w:tcPr>
          <w:p w14:paraId="01E9B6D9" w14:textId="7E30D7E4" w:rsidR="00F168DC" w:rsidRPr="004F4273" w:rsidRDefault="00F168DC" w:rsidP="00DF24A3">
            <w:pPr>
              <w:jc w:val="center"/>
              <w:rPr>
                <w:rFonts w:ascii="Poppins" w:hAnsi="Poppins" w:cs="Poppins"/>
                <w:color w:val="383838"/>
                <w:sz w:val="23"/>
                <w:szCs w:val="23"/>
              </w:rPr>
            </w:pPr>
            <w:r w:rsidRPr="004F4273">
              <w:rPr>
                <w:rFonts w:ascii="Poppins" w:hAnsi="Poppins" w:cs="Poppins"/>
                <w:color w:val="383838"/>
                <w:sz w:val="23"/>
                <w:szCs w:val="23"/>
              </w:rPr>
              <w:t>$10</w:t>
            </w:r>
            <w:r w:rsidR="002A6032">
              <w:rPr>
                <w:rFonts w:ascii="Poppins" w:hAnsi="Poppins" w:cs="Poppins"/>
                <w:color w:val="383838"/>
                <w:sz w:val="23"/>
                <w:szCs w:val="23"/>
              </w:rPr>
              <w:t>9</w:t>
            </w:r>
            <w:r w:rsidRPr="004F4273">
              <w:rPr>
                <w:rFonts w:ascii="Poppins" w:hAnsi="Poppins" w:cs="Poppins"/>
                <w:color w:val="383838"/>
                <w:sz w:val="23"/>
                <w:szCs w:val="23"/>
              </w:rPr>
              <w:t>,000</w:t>
            </w:r>
          </w:p>
        </w:tc>
        <w:tc>
          <w:tcPr>
            <w:tcW w:w="5755" w:type="dxa"/>
            <w:tcBorders>
              <w:top w:val="single" w:sz="6" w:space="0" w:color="333333"/>
              <w:left w:val="single" w:sz="6" w:space="0" w:color="333333"/>
              <w:bottom w:val="single" w:sz="6" w:space="0" w:color="333333"/>
              <w:right w:val="single" w:sz="6" w:space="0" w:color="333333"/>
            </w:tcBorders>
            <w:shd w:val="clear" w:color="auto" w:fill="F8F8F8"/>
            <w:tcMar>
              <w:top w:w="84" w:type="dxa"/>
              <w:left w:w="84" w:type="dxa"/>
              <w:bottom w:w="84" w:type="dxa"/>
              <w:right w:w="84" w:type="dxa"/>
            </w:tcMar>
            <w:hideMark/>
          </w:tcPr>
          <w:p w14:paraId="7E1841A0" w14:textId="77777777" w:rsidR="00F168DC" w:rsidRPr="004F4273" w:rsidRDefault="00F168DC" w:rsidP="00DF24A3">
            <w:pPr>
              <w:jc w:val="center"/>
              <w:rPr>
                <w:rFonts w:ascii="Poppins" w:hAnsi="Poppins" w:cs="Poppins"/>
                <w:color w:val="383838"/>
                <w:sz w:val="23"/>
                <w:szCs w:val="23"/>
              </w:rPr>
            </w:pPr>
            <w:r w:rsidRPr="004F4273">
              <w:rPr>
                <w:rFonts w:ascii="Poppins" w:hAnsi="Poppins" w:cs="Poppins"/>
                <w:color w:val="383838"/>
                <w:sz w:val="23"/>
                <w:szCs w:val="23"/>
              </w:rPr>
              <w:t>Married Couples Filing Jointly</w:t>
            </w:r>
          </w:p>
        </w:tc>
      </w:tr>
    </w:tbl>
    <w:p w14:paraId="72600B9C" w14:textId="17C1169F" w:rsidR="00F168DC" w:rsidRDefault="00807E0C">
      <w:pPr>
        <w:rPr>
          <w:rStyle w:val="Emphasis"/>
          <w:rFonts w:ascii="Poppins" w:hAnsi="Poppins" w:cs="Poppins"/>
          <w:color w:val="383838"/>
          <w:sz w:val="23"/>
          <w:szCs w:val="23"/>
          <w:shd w:val="clear" w:color="auto" w:fill="FFFFFF"/>
        </w:rPr>
      </w:pPr>
      <w:r>
        <w:rPr>
          <w:rStyle w:val="Emphasis"/>
          <w:rFonts w:ascii="Poppins" w:hAnsi="Poppins" w:cs="Poppins"/>
          <w:color w:val="383838"/>
          <w:sz w:val="23"/>
          <w:szCs w:val="23"/>
          <w:shd w:val="clear" w:color="auto" w:fill="FFFFFF"/>
        </w:rPr>
        <w:t>* The income restrictions listed above simply mirror those set by the separate State-administered Circuit Breaker Tax Credit program and do not require the applicant to apply for and/or receive that benefit. For questions on how potential participation in the Town Senior Tax Work Off Program may affect eligibility or benefits received from the Massachusetts Circuit Breaker Tax Credit Program, </w:t>
      </w:r>
      <w:hyperlink r:id="rId8" w:anchor="contact" w:tgtFrame="_blank" w:history="1">
        <w:r>
          <w:rPr>
            <w:rStyle w:val="Emphasis"/>
            <w:rFonts w:ascii="Poppins" w:hAnsi="Poppins" w:cs="Poppins"/>
            <w:color w:val="A52E23"/>
            <w:sz w:val="23"/>
            <w:szCs w:val="23"/>
            <w:shd w:val="clear" w:color="auto" w:fill="FFFFFF"/>
          </w:rPr>
          <w:t>contact the agency that administers that program</w:t>
        </w:r>
      </w:hyperlink>
      <w:r>
        <w:rPr>
          <w:rStyle w:val="Emphasis"/>
          <w:rFonts w:ascii="Poppins" w:hAnsi="Poppins" w:cs="Poppins"/>
          <w:color w:val="383838"/>
          <w:sz w:val="23"/>
          <w:szCs w:val="23"/>
          <w:shd w:val="clear" w:color="auto" w:fill="FFFFFF"/>
        </w:rPr>
        <w:t> (Commonwealth of Massachusetts Department of Revenue), or consult a competent tax or legal professional. </w:t>
      </w:r>
    </w:p>
    <w:p w14:paraId="658D8516" w14:textId="01378718" w:rsidR="00807E0C" w:rsidRDefault="00807E0C">
      <w:pPr>
        <w:rPr>
          <w:rStyle w:val="Emphasis"/>
          <w:rFonts w:ascii="Poppins" w:hAnsi="Poppins" w:cs="Poppins"/>
          <w:color w:val="383838"/>
          <w:sz w:val="23"/>
          <w:szCs w:val="23"/>
          <w:shd w:val="clear" w:color="auto" w:fill="FFFFFF"/>
        </w:rPr>
      </w:pPr>
    </w:p>
    <w:p w14:paraId="6068B0D7" w14:textId="77777777" w:rsidR="00807E0C" w:rsidRDefault="00807E0C" w:rsidP="00807E0C">
      <w:pPr>
        <w:numPr>
          <w:ilvl w:val="0"/>
          <w:numId w:val="3"/>
        </w:numPr>
        <w:shd w:val="clear" w:color="auto" w:fill="FFFFFF"/>
        <w:spacing w:before="100" w:beforeAutospacing="1" w:after="84"/>
        <w:rPr>
          <w:rFonts w:ascii="Poppins" w:hAnsi="Poppins" w:cs="Poppins"/>
          <w:color w:val="383838"/>
          <w:sz w:val="23"/>
          <w:szCs w:val="23"/>
        </w:rPr>
      </w:pPr>
      <w:r>
        <w:rPr>
          <w:rStyle w:val="Strong"/>
          <w:rFonts w:ascii="Poppins" w:hAnsi="Poppins" w:cs="Poppins"/>
          <w:color w:val="383838"/>
          <w:sz w:val="23"/>
          <w:szCs w:val="23"/>
        </w:rPr>
        <w:t>Application</w:t>
      </w:r>
      <w:r>
        <w:rPr>
          <w:rFonts w:ascii="Poppins" w:hAnsi="Poppins" w:cs="Poppins"/>
          <w:color w:val="383838"/>
          <w:sz w:val="23"/>
          <w:szCs w:val="23"/>
        </w:rPr>
        <w:t>: Complete the application in its entirety before the deadline.</w:t>
      </w:r>
    </w:p>
    <w:p w14:paraId="2B552071" w14:textId="4BA4A1FE" w:rsidR="00807E0C" w:rsidRDefault="00807E0C" w:rsidP="00807E0C">
      <w:pPr>
        <w:numPr>
          <w:ilvl w:val="0"/>
          <w:numId w:val="3"/>
        </w:numPr>
        <w:shd w:val="clear" w:color="auto" w:fill="FFFFFF"/>
        <w:spacing w:before="100" w:beforeAutospacing="1" w:after="84"/>
        <w:rPr>
          <w:rFonts w:ascii="Poppins" w:hAnsi="Poppins" w:cs="Poppins"/>
          <w:color w:val="383838"/>
          <w:sz w:val="23"/>
          <w:szCs w:val="23"/>
        </w:rPr>
      </w:pPr>
      <w:r>
        <w:rPr>
          <w:rStyle w:val="Strong"/>
          <w:rFonts w:ascii="Poppins" w:hAnsi="Poppins" w:cs="Poppins"/>
          <w:color w:val="383838"/>
          <w:sz w:val="23"/>
          <w:szCs w:val="23"/>
        </w:rPr>
        <w:t>Background</w:t>
      </w:r>
      <w:r>
        <w:rPr>
          <w:rFonts w:ascii="Poppins" w:hAnsi="Poppins" w:cs="Poppins"/>
          <w:color w:val="383838"/>
          <w:sz w:val="23"/>
          <w:szCs w:val="23"/>
        </w:rPr>
        <w:t xml:space="preserve">: Complete a background check including but not limited to CORI and reference checks; </w:t>
      </w:r>
      <w:r w:rsidR="00FD5A83">
        <w:rPr>
          <w:rFonts w:ascii="Poppins" w:hAnsi="Poppins" w:cs="Poppins"/>
          <w:color w:val="383838"/>
          <w:sz w:val="23"/>
          <w:szCs w:val="23"/>
        </w:rPr>
        <w:t xml:space="preserve">Tax Work Off Packet, a COS Separation Form and a New Hires and Policies sign off Packet.  All must be completed and submitted before starting the program.  </w:t>
      </w:r>
      <w:r>
        <w:rPr>
          <w:rFonts w:ascii="Poppins" w:hAnsi="Poppins" w:cs="Poppins"/>
          <w:color w:val="383838"/>
          <w:sz w:val="23"/>
          <w:szCs w:val="23"/>
        </w:rPr>
        <w:t xml:space="preserve">Any person found guilty of having committed a criminal act involving the </w:t>
      </w:r>
      <w:r w:rsidR="002A6032">
        <w:rPr>
          <w:rFonts w:ascii="Poppins" w:hAnsi="Poppins" w:cs="Poppins"/>
          <w:color w:val="383838"/>
          <w:sz w:val="23"/>
          <w:szCs w:val="23"/>
        </w:rPr>
        <w:t>city</w:t>
      </w:r>
      <w:r>
        <w:rPr>
          <w:rFonts w:ascii="Poppins" w:hAnsi="Poppins" w:cs="Poppins"/>
          <w:color w:val="383838"/>
          <w:sz w:val="23"/>
          <w:szCs w:val="23"/>
        </w:rPr>
        <w:t xml:space="preserve"> or any of its officers or employees shall be ineligible to participate in the program; Be current with property tax and other payments owed to the </w:t>
      </w:r>
      <w:r w:rsidR="00DF5653">
        <w:rPr>
          <w:rFonts w:ascii="Poppins" w:hAnsi="Poppins" w:cs="Poppins"/>
          <w:color w:val="383838"/>
          <w:sz w:val="23"/>
          <w:szCs w:val="23"/>
        </w:rPr>
        <w:t xml:space="preserve">City </w:t>
      </w:r>
      <w:r>
        <w:rPr>
          <w:rFonts w:ascii="Poppins" w:hAnsi="Poppins" w:cs="Poppins"/>
          <w:color w:val="383838"/>
          <w:sz w:val="23"/>
          <w:szCs w:val="23"/>
        </w:rPr>
        <w:t>of S</w:t>
      </w:r>
      <w:r w:rsidR="00DF5653">
        <w:rPr>
          <w:rFonts w:ascii="Poppins" w:hAnsi="Poppins" w:cs="Poppins"/>
          <w:color w:val="383838"/>
          <w:sz w:val="23"/>
          <w:szCs w:val="23"/>
        </w:rPr>
        <w:t>pringfield</w:t>
      </w:r>
      <w:r>
        <w:rPr>
          <w:rFonts w:ascii="Poppins" w:hAnsi="Poppins" w:cs="Poppins"/>
          <w:color w:val="383838"/>
          <w:sz w:val="23"/>
          <w:szCs w:val="23"/>
        </w:rPr>
        <w:t>. </w:t>
      </w:r>
    </w:p>
    <w:p w14:paraId="7BCA6969" w14:textId="60046529" w:rsidR="00807E0C" w:rsidRDefault="00807E0C" w:rsidP="00807E0C">
      <w:pPr>
        <w:numPr>
          <w:ilvl w:val="0"/>
          <w:numId w:val="3"/>
        </w:numPr>
        <w:shd w:val="clear" w:color="auto" w:fill="FFFFFF"/>
        <w:spacing w:before="100" w:beforeAutospacing="1" w:after="84"/>
        <w:rPr>
          <w:rFonts w:ascii="Poppins" w:hAnsi="Poppins" w:cs="Poppins"/>
          <w:color w:val="383838"/>
          <w:sz w:val="23"/>
          <w:szCs w:val="23"/>
        </w:rPr>
      </w:pPr>
      <w:r>
        <w:rPr>
          <w:rStyle w:val="Strong"/>
          <w:rFonts w:ascii="Poppins" w:hAnsi="Poppins" w:cs="Poppins"/>
          <w:color w:val="383838"/>
          <w:sz w:val="23"/>
          <w:szCs w:val="23"/>
        </w:rPr>
        <w:t>Skills</w:t>
      </w:r>
      <w:r>
        <w:rPr>
          <w:rFonts w:ascii="Poppins" w:hAnsi="Poppins" w:cs="Poppins"/>
          <w:color w:val="383838"/>
          <w:sz w:val="23"/>
          <w:szCs w:val="23"/>
        </w:rPr>
        <w:t xml:space="preserve">: Possess and identify employable skills; be interviewed for job placement by </w:t>
      </w:r>
      <w:r w:rsidR="00FD5A83">
        <w:rPr>
          <w:rFonts w:ascii="Poppins" w:hAnsi="Poppins" w:cs="Poppins"/>
          <w:color w:val="383838"/>
          <w:sz w:val="23"/>
          <w:szCs w:val="23"/>
        </w:rPr>
        <w:t xml:space="preserve">Program Assistant, Elder Affairs Director, </w:t>
      </w:r>
      <w:r>
        <w:rPr>
          <w:rFonts w:ascii="Poppins" w:hAnsi="Poppins" w:cs="Poppins"/>
          <w:color w:val="383838"/>
          <w:sz w:val="23"/>
          <w:szCs w:val="23"/>
        </w:rPr>
        <w:t xml:space="preserve">or </w:t>
      </w:r>
      <w:r w:rsidR="00FD5A83">
        <w:rPr>
          <w:rFonts w:ascii="Poppins" w:hAnsi="Poppins" w:cs="Poppins"/>
          <w:color w:val="383838"/>
          <w:sz w:val="23"/>
          <w:szCs w:val="23"/>
        </w:rPr>
        <w:t xml:space="preserve">other </w:t>
      </w:r>
      <w:r>
        <w:rPr>
          <w:rFonts w:ascii="Poppins" w:hAnsi="Poppins" w:cs="Poppins"/>
          <w:color w:val="383838"/>
          <w:sz w:val="23"/>
          <w:szCs w:val="23"/>
        </w:rPr>
        <w:t>designee</w:t>
      </w:r>
      <w:r w:rsidR="00DF5653">
        <w:rPr>
          <w:rFonts w:ascii="Poppins" w:hAnsi="Poppins" w:cs="Poppins"/>
          <w:color w:val="383838"/>
          <w:sz w:val="23"/>
          <w:szCs w:val="23"/>
        </w:rPr>
        <w:t>s</w:t>
      </w:r>
      <w:r>
        <w:rPr>
          <w:rFonts w:ascii="Poppins" w:hAnsi="Poppins" w:cs="Poppins"/>
          <w:color w:val="383838"/>
          <w:sz w:val="23"/>
          <w:szCs w:val="23"/>
        </w:rPr>
        <w:t>.</w:t>
      </w:r>
    </w:p>
    <w:p w14:paraId="7AFE0F4D" w14:textId="77777777" w:rsidR="00182BF3" w:rsidRPr="00FD5A83" w:rsidRDefault="00182BF3" w:rsidP="00FD5A83">
      <w:pPr>
        <w:rPr>
          <w:rFonts w:ascii="Arial Black" w:hAnsi="Arial Black"/>
          <w:b/>
          <w:bCs/>
          <w:sz w:val="28"/>
          <w:szCs w:val="28"/>
        </w:rPr>
      </w:pPr>
      <w:r w:rsidRPr="00FD5A83">
        <w:rPr>
          <w:rFonts w:ascii="Arial Black" w:hAnsi="Arial Black"/>
          <w:b/>
          <w:bCs/>
          <w:sz w:val="28"/>
          <w:szCs w:val="28"/>
        </w:rPr>
        <w:t>Tax Abatement:</w:t>
      </w:r>
    </w:p>
    <w:p w14:paraId="7F9DE99D" w14:textId="0FBF36BE" w:rsidR="00182BF3" w:rsidRPr="00182BF3" w:rsidRDefault="00182BF3" w:rsidP="00182BF3">
      <w:pPr>
        <w:numPr>
          <w:ilvl w:val="0"/>
          <w:numId w:val="4"/>
        </w:numPr>
        <w:shd w:val="clear" w:color="auto" w:fill="FFFFFF"/>
        <w:spacing w:before="100" w:beforeAutospacing="1" w:after="84"/>
        <w:rPr>
          <w:rFonts w:ascii="Poppins" w:hAnsi="Poppins" w:cs="Poppins"/>
          <w:color w:val="383838"/>
          <w:sz w:val="23"/>
          <w:szCs w:val="23"/>
        </w:rPr>
      </w:pPr>
      <w:r w:rsidRPr="00182BF3">
        <w:rPr>
          <w:rFonts w:ascii="Poppins" w:hAnsi="Poppins" w:cs="Poppins"/>
          <w:b/>
          <w:bCs/>
          <w:color w:val="383838"/>
          <w:sz w:val="23"/>
          <w:szCs w:val="23"/>
        </w:rPr>
        <w:t>Maximum amount of abatement</w:t>
      </w:r>
      <w:r w:rsidRPr="00182BF3">
        <w:rPr>
          <w:rFonts w:ascii="Poppins" w:hAnsi="Poppins" w:cs="Poppins"/>
          <w:color w:val="383838"/>
          <w:sz w:val="23"/>
          <w:szCs w:val="23"/>
        </w:rPr>
        <w:t>: $</w:t>
      </w:r>
      <w:r w:rsidR="00FD5A83">
        <w:rPr>
          <w:rFonts w:ascii="Poppins" w:hAnsi="Poppins" w:cs="Poppins"/>
          <w:color w:val="383838"/>
          <w:sz w:val="23"/>
          <w:szCs w:val="23"/>
        </w:rPr>
        <w:t>1</w:t>
      </w:r>
      <w:r w:rsidRPr="00182BF3">
        <w:rPr>
          <w:rFonts w:ascii="Poppins" w:hAnsi="Poppins" w:cs="Poppins"/>
          <w:color w:val="383838"/>
          <w:sz w:val="23"/>
          <w:szCs w:val="23"/>
        </w:rPr>
        <w:t>,000 per person per fiscal year </w:t>
      </w:r>
    </w:p>
    <w:p w14:paraId="68183AEC" w14:textId="28803E27" w:rsidR="00182BF3" w:rsidRPr="00182BF3" w:rsidRDefault="00182BF3" w:rsidP="00182BF3">
      <w:pPr>
        <w:numPr>
          <w:ilvl w:val="0"/>
          <w:numId w:val="4"/>
        </w:numPr>
        <w:shd w:val="clear" w:color="auto" w:fill="FFFFFF"/>
        <w:spacing w:before="100" w:beforeAutospacing="1" w:after="84"/>
        <w:rPr>
          <w:rFonts w:ascii="Poppins" w:hAnsi="Poppins" w:cs="Poppins"/>
          <w:color w:val="383838"/>
          <w:sz w:val="23"/>
          <w:szCs w:val="23"/>
        </w:rPr>
      </w:pPr>
      <w:r w:rsidRPr="00182BF3">
        <w:rPr>
          <w:rFonts w:ascii="Poppins" w:hAnsi="Poppins" w:cs="Poppins"/>
          <w:b/>
          <w:bCs/>
          <w:color w:val="383838"/>
          <w:sz w:val="23"/>
          <w:szCs w:val="23"/>
        </w:rPr>
        <w:t>FY2</w:t>
      </w:r>
      <w:r w:rsidR="00EE5CC3">
        <w:rPr>
          <w:rFonts w:ascii="Poppins" w:hAnsi="Poppins" w:cs="Poppins"/>
          <w:b/>
          <w:bCs/>
          <w:color w:val="383838"/>
          <w:sz w:val="23"/>
          <w:szCs w:val="23"/>
        </w:rPr>
        <w:t xml:space="preserve">6 </w:t>
      </w:r>
      <w:r w:rsidRPr="00182BF3">
        <w:rPr>
          <w:rFonts w:ascii="Poppins" w:hAnsi="Poppins" w:cs="Poppins"/>
          <w:b/>
          <w:bCs/>
          <w:color w:val="383838"/>
          <w:sz w:val="23"/>
          <w:szCs w:val="23"/>
        </w:rPr>
        <w:t>Hourly Rate</w:t>
      </w:r>
      <w:r w:rsidRPr="00182BF3">
        <w:rPr>
          <w:rFonts w:ascii="Poppins" w:hAnsi="Poppins" w:cs="Poppins"/>
          <w:color w:val="383838"/>
          <w:sz w:val="23"/>
          <w:szCs w:val="23"/>
        </w:rPr>
        <w:t>: $15.00 per hour. Under </w:t>
      </w:r>
      <w:hyperlink r:id="rId9" w:history="1">
        <w:r w:rsidRPr="00182BF3">
          <w:rPr>
            <w:rFonts w:ascii="Poppins" w:hAnsi="Poppins" w:cs="Poppins"/>
            <w:color w:val="A52E23"/>
            <w:sz w:val="23"/>
            <w:szCs w:val="23"/>
            <w:u w:val="single"/>
          </w:rPr>
          <w:t>MGL c. 59, § 5K</w:t>
        </w:r>
      </w:hyperlink>
      <w:r w:rsidRPr="00182BF3">
        <w:rPr>
          <w:rFonts w:ascii="Poppins" w:hAnsi="Poppins" w:cs="Poppins"/>
          <w:color w:val="383838"/>
          <w:sz w:val="23"/>
          <w:szCs w:val="23"/>
        </w:rPr>
        <w:t>, the hourly rate for service credit cannot exceed the state's minimum wage; therefore, the rate shall be set to the state's minimum wage in effect at the time.</w:t>
      </w:r>
    </w:p>
    <w:p w14:paraId="04995890" w14:textId="723947BA" w:rsidR="00182BF3" w:rsidRPr="00182BF3" w:rsidRDefault="00182BF3" w:rsidP="00182BF3">
      <w:pPr>
        <w:numPr>
          <w:ilvl w:val="0"/>
          <w:numId w:val="4"/>
        </w:numPr>
        <w:shd w:val="clear" w:color="auto" w:fill="FFFFFF"/>
        <w:spacing w:before="100" w:beforeAutospacing="1" w:after="84"/>
        <w:rPr>
          <w:rFonts w:ascii="Poppins" w:hAnsi="Poppins" w:cs="Poppins"/>
          <w:color w:val="383838"/>
          <w:sz w:val="23"/>
          <w:szCs w:val="23"/>
        </w:rPr>
      </w:pPr>
      <w:r w:rsidRPr="00182BF3">
        <w:rPr>
          <w:rFonts w:ascii="Poppins" w:hAnsi="Poppins" w:cs="Poppins"/>
          <w:b/>
          <w:bCs/>
          <w:color w:val="383838"/>
          <w:sz w:val="23"/>
          <w:szCs w:val="23"/>
        </w:rPr>
        <w:t>FY2</w:t>
      </w:r>
      <w:r w:rsidR="00EE5CC3">
        <w:rPr>
          <w:rFonts w:ascii="Poppins" w:hAnsi="Poppins" w:cs="Poppins"/>
          <w:b/>
          <w:bCs/>
          <w:color w:val="383838"/>
          <w:sz w:val="23"/>
          <w:szCs w:val="23"/>
        </w:rPr>
        <w:t>6</w:t>
      </w:r>
      <w:r w:rsidR="002A6032">
        <w:rPr>
          <w:rFonts w:ascii="Poppins" w:hAnsi="Poppins" w:cs="Poppins"/>
          <w:b/>
          <w:bCs/>
          <w:color w:val="383838"/>
          <w:sz w:val="23"/>
          <w:szCs w:val="23"/>
        </w:rPr>
        <w:t xml:space="preserve"> </w:t>
      </w:r>
      <w:r w:rsidRPr="00182BF3">
        <w:rPr>
          <w:rFonts w:ascii="Poppins" w:hAnsi="Poppins" w:cs="Poppins"/>
          <w:b/>
          <w:bCs/>
          <w:color w:val="383838"/>
          <w:sz w:val="23"/>
          <w:szCs w:val="23"/>
        </w:rPr>
        <w:t>Max Hours</w:t>
      </w:r>
      <w:r w:rsidRPr="00182BF3">
        <w:rPr>
          <w:rFonts w:ascii="Poppins" w:hAnsi="Poppins" w:cs="Poppins"/>
          <w:color w:val="383838"/>
          <w:sz w:val="23"/>
          <w:szCs w:val="23"/>
        </w:rPr>
        <w:t xml:space="preserve">: </w:t>
      </w:r>
      <w:r w:rsidR="00FD5A83">
        <w:rPr>
          <w:rFonts w:ascii="Poppins" w:hAnsi="Poppins" w:cs="Poppins"/>
          <w:color w:val="383838"/>
          <w:sz w:val="23"/>
          <w:szCs w:val="23"/>
        </w:rPr>
        <w:t xml:space="preserve">67 </w:t>
      </w:r>
      <w:r w:rsidRPr="00182BF3">
        <w:rPr>
          <w:rFonts w:ascii="Poppins" w:hAnsi="Poppins" w:cs="Poppins"/>
          <w:color w:val="383838"/>
          <w:sz w:val="23"/>
          <w:szCs w:val="23"/>
        </w:rPr>
        <w:t>hrs. The maximum number of hours to be credited will be determined by dividing the maximum credit amount of $</w:t>
      </w:r>
      <w:r w:rsidR="00FD5A83">
        <w:rPr>
          <w:rFonts w:ascii="Poppins" w:hAnsi="Poppins" w:cs="Poppins"/>
          <w:color w:val="383838"/>
          <w:sz w:val="23"/>
          <w:szCs w:val="23"/>
        </w:rPr>
        <w:t>1</w:t>
      </w:r>
      <w:r w:rsidRPr="00182BF3">
        <w:rPr>
          <w:rFonts w:ascii="Poppins" w:hAnsi="Poppins" w:cs="Poppins"/>
          <w:color w:val="383838"/>
          <w:sz w:val="23"/>
          <w:szCs w:val="23"/>
        </w:rPr>
        <w:t xml:space="preserve">,000 by the state minimum wage per hour in effect at the time. Any hours worked beyond the maximum number of hours per year cannot </w:t>
      </w:r>
      <w:r w:rsidRPr="00182BF3">
        <w:rPr>
          <w:rFonts w:ascii="Poppins" w:hAnsi="Poppins" w:cs="Poppins"/>
          <w:color w:val="383838"/>
          <w:sz w:val="23"/>
          <w:szCs w:val="23"/>
        </w:rPr>
        <w:lastRenderedPageBreak/>
        <w:t xml:space="preserve">be accumulated for the Tax Work Off Program.  Working less than </w:t>
      </w:r>
      <w:r w:rsidR="00FD5A83">
        <w:rPr>
          <w:rFonts w:ascii="Poppins" w:hAnsi="Poppins" w:cs="Poppins"/>
          <w:color w:val="383838"/>
          <w:sz w:val="23"/>
          <w:szCs w:val="23"/>
        </w:rPr>
        <w:t>67</w:t>
      </w:r>
      <w:r w:rsidRPr="00182BF3">
        <w:rPr>
          <w:rFonts w:ascii="Poppins" w:hAnsi="Poppins" w:cs="Poppins"/>
          <w:color w:val="383838"/>
          <w:sz w:val="23"/>
          <w:szCs w:val="23"/>
        </w:rPr>
        <w:t xml:space="preserve"> hours results in a prorated tax credit based on the number of hours</w:t>
      </w:r>
      <w:r w:rsidR="00FD5A83">
        <w:rPr>
          <w:rFonts w:ascii="Poppins" w:hAnsi="Poppins" w:cs="Poppins"/>
          <w:color w:val="383838"/>
          <w:sz w:val="23"/>
          <w:szCs w:val="23"/>
        </w:rPr>
        <w:t xml:space="preserve"> worked</w:t>
      </w:r>
      <w:r w:rsidRPr="00182BF3">
        <w:rPr>
          <w:rFonts w:ascii="Poppins" w:hAnsi="Poppins" w:cs="Poppins"/>
          <w:color w:val="383838"/>
          <w:sz w:val="23"/>
          <w:szCs w:val="23"/>
        </w:rPr>
        <w:t>.</w:t>
      </w:r>
    </w:p>
    <w:p w14:paraId="09E74436" w14:textId="255C56BC" w:rsidR="00182BF3" w:rsidRPr="00182BF3" w:rsidRDefault="00182BF3" w:rsidP="00182BF3">
      <w:pPr>
        <w:numPr>
          <w:ilvl w:val="0"/>
          <w:numId w:val="4"/>
        </w:numPr>
        <w:shd w:val="clear" w:color="auto" w:fill="FFFFFF"/>
        <w:spacing w:beforeAutospacing="1"/>
        <w:rPr>
          <w:rFonts w:ascii="Poppins" w:hAnsi="Poppins" w:cs="Poppins"/>
          <w:color w:val="383838"/>
          <w:sz w:val="23"/>
          <w:szCs w:val="23"/>
        </w:rPr>
      </w:pPr>
      <w:r w:rsidRPr="00182BF3">
        <w:rPr>
          <w:rFonts w:ascii="Poppins" w:hAnsi="Poppins" w:cs="Poppins"/>
          <w:b/>
          <w:bCs/>
          <w:color w:val="383838"/>
          <w:sz w:val="23"/>
          <w:szCs w:val="23"/>
        </w:rPr>
        <w:t>Income Tax Implications</w:t>
      </w:r>
      <w:r w:rsidRPr="00182BF3">
        <w:rPr>
          <w:rFonts w:ascii="Poppins" w:hAnsi="Poppins" w:cs="Poppins"/>
          <w:color w:val="383838"/>
          <w:sz w:val="23"/>
          <w:szCs w:val="23"/>
        </w:rPr>
        <w:t>: Money earned through the Tax Work Off Program is reportable income for federal payroll taxes only, and as such federal taxes are withheld from the final abated amount. Participants will receive a W-2 form for the amount of money earned through the program</w:t>
      </w:r>
      <w:r w:rsidR="002A6032">
        <w:rPr>
          <w:rFonts w:ascii="Poppins" w:hAnsi="Poppins" w:cs="Poppins"/>
          <w:color w:val="383838"/>
          <w:sz w:val="23"/>
          <w:szCs w:val="23"/>
        </w:rPr>
        <w:t>,</w:t>
      </w:r>
      <w:r w:rsidRPr="00182BF3">
        <w:rPr>
          <w:rFonts w:ascii="Poppins" w:hAnsi="Poppins" w:cs="Poppins"/>
          <w:color w:val="383838"/>
          <w:sz w:val="23"/>
          <w:szCs w:val="23"/>
        </w:rPr>
        <w:t>. </w:t>
      </w:r>
      <w:r w:rsidRPr="00182BF3">
        <w:rPr>
          <w:rFonts w:ascii="inherit" w:hAnsi="inherit" w:cs="Poppins"/>
          <w:color w:val="383838"/>
          <w:sz w:val="23"/>
          <w:szCs w:val="23"/>
          <w:u w:val="single"/>
          <w:bdr w:val="none" w:sz="0" w:space="0" w:color="auto" w:frame="1"/>
        </w:rPr>
        <w:t xml:space="preserve">The </w:t>
      </w:r>
      <w:r w:rsidR="002A6032">
        <w:rPr>
          <w:rFonts w:ascii="inherit" w:hAnsi="inherit" w:cs="Poppins"/>
          <w:color w:val="383838"/>
          <w:sz w:val="23"/>
          <w:szCs w:val="23"/>
          <w:u w:val="single"/>
          <w:bdr w:val="none" w:sz="0" w:space="0" w:color="auto" w:frame="1"/>
        </w:rPr>
        <w:t>City</w:t>
      </w:r>
      <w:r w:rsidRPr="00182BF3">
        <w:rPr>
          <w:rFonts w:ascii="inherit" w:hAnsi="inherit" w:cs="Poppins"/>
          <w:color w:val="383838"/>
          <w:sz w:val="23"/>
          <w:szCs w:val="23"/>
          <w:u w:val="single"/>
          <w:bdr w:val="none" w:sz="0" w:space="0" w:color="auto" w:frame="1"/>
        </w:rPr>
        <w:t xml:space="preserve"> is unable to provide you tax, financial, or legal advice</w:t>
      </w:r>
      <w:r w:rsidRPr="00182BF3">
        <w:rPr>
          <w:rFonts w:ascii="Poppins" w:hAnsi="Poppins" w:cs="Poppins"/>
          <w:color w:val="383838"/>
          <w:sz w:val="23"/>
          <w:szCs w:val="23"/>
        </w:rPr>
        <w:t>, and applicants are encouraged to contact a competent tax, legal or financial professional in advance to consider all implications on personal situations. </w:t>
      </w:r>
    </w:p>
    <w:p w14:paraId="0830926E" w14:textId="77777777" w:rsidR="00182BF3" w:rsidRPr="00DF5653" w:rsidRDefault="00182BF3" w:rsidP="00DF5653">
      <w:pPr>
        <w:rPr>
          <w:rFonts w:ascii="Arial Black" w:hAnsi="Arial Black"/>
          <w:b/>
          <w:bCs/>
          <w:sz w:val="28"/>
          <w:szCs w:val="28"/>
        </w:rPr>
      </w:pPr>
      <w:r w:rsidRPr="00DF5653">
        <w:rPr>
          <w:rFonts w:ascii="Arial Black" w:hAnsi="Arial Black"/>
          <w:b/>
          <w:bCs/>
          <w:sz w:val="28"/>
          <w:szCs w:val="28"/>
        </w:rPr>
        <w:t>Job Placement Process:</w:t>
      </w:r>
    </w:p>
    <w:p w14:paraId="4A6E2C06" w14:textId="77777777" w:rsidR="00182BF3" w:rsidRPr="00182BF3" w:rsidRDefault="00182BF3" w:rsidP="00182BF3">
      <w:pPr>
        <w:numPr>
          <w:ilvl w:val="0"/>
          <w:numId w:val="5"/>
        </w:numPr>
        <w:shd w:val="clear" w:color="auto" w:fill="FFFFFF"/>
        <w:spacing w:before="100" w:beforeAutospacing="1" w:after="84"/>
        <w:rPr>
          <w:rFonts w:ascii="Poppins" w:hAnsi="Poppins" w:cs="Poppins"/>
          <w:color w:val="383838"/>
          <w:sz w:val="23"/>
          <w:szCs w:val="23"/>
        </w:rPr>
      </w:pPr>
      <w:r w:rsidRPr="00182BF3">
        <w:rPr>
          <w:rFonts w:ascii="Poppins" w:hAnsi="Poppins" w:cs="Poppins"/>
          <w:b/>
          <w:bCs/>
          <w:color w:val="383838"/>
          <w:sz w:val="23"/>
          <w:szCs w:val="23"/>
        </w:rPr>
        <w:t>Application Period</w:t>
      </w:r>
      <w:r w:rsidRPr="00182BF3">
        <w:rPr>
          <w:rFonts w:ascii="Poppins" w:hAnsi="Poppins" w:cs="Poppins"/>
          <w:color w:val="383838"/>
          <w:sz w:val="23"/>
          <w:szCs w:val="23"/>
        </w:rPr>
        <w:t>: Applicants must apply during the designated application period to be considered for an assignment in the upcoming session. Applications must be completed in their entirety and submitted timely to be considered. </w:t>
      </w:r>
    </w:p>
    <w:p w14:paraId="7F9BC681" w14:textId="12E21278" w:rsidR="00182BF3" w:rsidRPr="00182BF3" w:rsidRDefault="00182BF3" w:rsidP="00182BF3">
      <w:pPr>
        <w:numPr>
          <w:ilvl w:val="0"/>
          <w:numId w:val="5"/>
        </w:numPr>
        <w:shd w:val="clear" w:color="auto" w:fill="FFFFFF"/>
        <w:spacing w:before="100" w:beforeAutospacing="1" w:after="84"/>
        <w:rPr>
          <w:rFonts w:ascii="Poppins" w:hAnsi="Poppins" w:cs="Poppins"/>
          <w:color w:val="383838"/>
          <w:sz w:val="23"/>
          <w:szCs w:val="23"/>
        </w:rPr>
      </w:pPr>
      <w:r w:rsidRPr="00182BF3">
        <w:rPr>
          <w:rFonts w:ascii="Poppins" w:hAnsi="Poppins" w:cs="Poppins"/>
          <w:b/>
          <w:bCs/>
          <w:color w:val="383838"/>
          <w:sz w:val="23"/>
          <w:szCs w:val="23"/>
        </w:rPr>
        <w:t>Consideration</w:t>
      </w:r>
      <w:r w:rsidRPr="00182BF3">
        <w:rPr>
          <w:rFonts w:ascii="Poppins" w:hAnsi="Poppins" w:cs="Poppins"/>
          <w:color w:val="383838"/>
          <w:sz w:val="23"/>
          <w:szCs w:val="23"/>
        </w:rPr>
        <w:t xml:space="preserve">: </w:t>
      </w:r>
      <w:r w:rsidR="00FD5A83">
        <w:rPr>
          <w:rFonts w:ascii="Poppins" w:hAnsi="Poppins" w:cs="Poppins"/>
          <w:color w:val="383838"/>
          <w:sz w:val="23"/>
          <w:szCs w:val="23"/>
        </w:rPr>
        <w:t>In coming years, p</w:t>
      </w:r>
      <w:r w:rsidRPr="00182BF3">
        <w:rPr>
          <w:rFonts w:ascii="Poppins" w:hAnsi="Poppins" w:cs="Poppins"/>
          <w:color w:val="383838"/>
          <w:sz w:val="23"/>
          <w:szCs w:val="23"/>
        </w:rPr>
        <w:t xml:space="preserve">rimary consideration will be given to first time applicants. Individuals previously chosen for the program may make re-application in </w:t>
      </w:r>
      <w:r w:rsidR="00DE7F37">
        <w:rPr>
          <w:rFonts w:ascii="Poppins" w:hAnsi="Poppins" w:cs="Poppins"/>
          <w:color w:val="383838"/>
          <w:sz w:val="23"/>
          <w:szCs w:val="23"/>
        </w:rPr>
        <w:t>biennial</w:t>
      </w:r>
      <w:r w:rsidRPr="00182BF3">
        <w:rPr>
          <w:rFonts w:ascii="Poppins" w:hAnsi="Poppins" w:cs="Poppins"/>
          <w:color w:val="383838"/>
          <w:sz w:val="23"/>
          <w:szCs w:val="23"/>
        </w:rPr>
        <w:t xml:space="preserve"> years. No applicant is guaranteed a position. A lottery system </w:t>
      </w:r>
      <w:r w:rsidR="00DE7F37">
        <w:rPr>
          <w:rFonts w:ascii="Poppins" w:hAnsi="Poppins" w:cs="Poppins"/>
          <w:color w:val="383838"/>
          <w:sz w:val="23"/>
          <w:szCs w:val="23"/>
        </w:rPr>
        <w:t xml:space="preserve">will </w:t>
      </w:r>
      <w:r w:rsidRPr="00182BF3">
        <w:rPr>
          <w:rFonts w:ascii="Poppins" w:hAnsi="Poppins" w:cs="Poppins"/>
          <w:color w:val="383838"/>
          <w:sz w:val="23"/>
          <w:szCs w:val="23"/>
        </w:rPr>
        <w:t>be used if there are more applicants than available positions. Those not selected from the lottery will be placed on a waiting list if more slots become available. Applicants on the waiting list may be considered at times throughout the year for situations including unexpected vacancies, emergency needs, or if there were no qualified candidates available during the consideration period.</w:t>
      </w:r>
    </w:p>
    <w:p w14:paraId="161B4B63" w14:textId="0805626A" w:rsidR="00182BF3" w:rsidRPr="00182BF3" w:rsidRDefault="00182BF3" w:rsidP="00182BF3">
      <w:pPr>
        <w:numPr>
          <w:ilvl w:val="0"/>
          <w:numId w:val="5"/>
        </w:numPr>
        <w:shd w:val="clear" w:color="auto" w:fill="FFFFFF"/>
        <w:spacing w:before="100" w:beforeAutospacing="1" w:after="84"/>
        <w:rPr>
          <w:rFonts w:ascii="Poppins" w:hAnsi="Poppins" w:cs="Poppins"/>
          <w:color w:val="383838"/>
          <w:sz w:val="23"/>
          <w:szCs w:val="23"/>
        </w:rPr>
      </w:pPr>
      <w:r w:rsidRPr="00182BF3">
        <w:rPr>
          <w:rFonts w:ascii="Poppins" w:hAnsi="Poppins" w:cs="Poppins"/>
          <w:b/>
          <w:bCs/>
          <w:color w:val="383838"/>
          <w:sz w:val="23"/>
          <w:szCs w:val="23"/>
        </w:rPr>
        <w:t>Vetting, Interviews and Placement</w:t>
      </w:r>
      <w:r w:rsidRPr="00182BF3">
        <w:rPr>
          <w:rFonts w:ascii="Poppins" w:hAnsi="Poppins" w:cs="Poppins"/>
          <w:color w:val="383838"/>
          <w:sz w:val="23"/>
          <w:szCs w:val="23"/>
        </w:rPr>
        <w:t xml:space="preserve">: Applicants will be interviewed by the </w:t>
      </w:r>
      <w:r w:rsidR="00DE7F37">
        <w:rPr>
          <w:rFonts w:ascii="Poppins" w:hAnsi="Poppins" w:cs="Poppins"/>
          <w:color w:val="383838"/>
          <w:sz w:val="23"/>
          <w:szCs w:val="23"/>
        </w:rPr>
        <w:t xml:space="preserve">Elder Affairs </w:t>
      </w:r>
      <w:r w:rsidRPr="00182BF3">
        <w:rPr>
          <w:rFonts w:ascii="Poppins" w:hAnsi="Poppins" w:cs="Poppins"/>
          <w:color w:val="383838"/>
          <w:sz w:val="23"/>
          <w:szCs w:val="23"/>
        </w:rPr>
        <w:t xml:space="preserve">Department for initial job placement. Individuals will be chosen based on the best match between the applicant's qualifications and the skill requirements of each job. The worksite supervisor may interview the participant after initial selection and placement by the </w:t>
      </w:r>
      <w:r w:rsidR="00DE7F37">
        <w:rPr>
          <w:rFonts w:ascii="Poppins" w:hAnsi="Poppins" w:cs="Poppins"/>
          <w:color w:val="383838"/>
          <w:sz w:val="23"/>
          <w:szCs w:val="23"/>
        </w:rPr>
        <w:t xml:space="preserve">Elder Affairs </w:t>
      </w:r>
      <w:r w:rsidRPr="00182BF3">
        <w:rPr>
          <w:rFonts w:ascii="Poppins" w:hAnsi="Poppins" w:cs="Poppins"/>
          <w:color w:val="383838"/>
          <w:sz w:val="23"/>
          <w:szCs w:val="23"/>
        </w:rPr>
        <w:t>Department, to further confirm skills, availability and interest in the specific assignment. Applicants should note the following:</w:t>
      </w:r>
    </w:p>
    <w:p w14:paraId="3027C6A5" w14:textId="77777777" w:rsidR="00182BF3" w:rsidRPr="00182BF3" w:rsidRDefault="00182BF3" w:rsidP="00182BF3">
      <w:pPr>
        <w:numPr>
          <w:ilvl w:val="1"/>
          <w:numId w:val="5"/>
        </w:numPr>
        <w:shd w:val="clear" w:color="auto" w:fill="FFFFFF"/>
        <w:spacing w:beforeAutospacing="1"/>
        <w:rPr>
          <w:rFonts w:ascii="Poppins" w:hAnsi="Poppins" w:cs="Poppins"/>
          <w:color w:val="383838"/>
          <w:sz w:val="23"/>
          <w:szCs w:val="23"/>
        </w:rPr>
      </w:pPr>
      <w:r w:rsidRPr="00182BF3">
        <w:rPr>
          <w:rFonts w:ascii="inherit" w:hAnsi="inherit" w:cs="Poppins"/>
          <w:color w:val="383838"/>
          <w:sz w:val="23"/>
          <w:szCs w:val="23"/>
          <w:u w:val="single"/>
          <w:bdr w:val="none" w:sz="0" w:space="0" w:color="auto" w:frame="1"/>
        </w:rPr>
        <w:t>There is no guarantee that a placement can be matched </w:t>
      </w:r>
      <w:r w:rsidRPr="00182BF3">
        <w:rPr>
          <w:rFonts w:ascii="Poppins" w:hAnsi="Poppins" w:cs="Poppins"/>
          <w:color w:val="383838"/>
          <w:sz w:val="23"/>
          <w:szCs w:val="23"/>
        </w:rPr>
        <w:t>with a participant based on worksite needs and skills of the participant. </w:t>
      </w:r>
    </w:p>
    <w:p w14:paraId="00FC6BD5" w14:textId="50241229" w:rsidR="00182BF3" w:rsidRPr="00182BF3" w:rsidRDefault="00182BF3" w:rsidP="00182BF3">
      <w:pPr>
        <w:numPr>
          <w:ilvl w:val="1"/>
          <w:numId w:val="5"/>
        </w:numPr>
        <w:shd w:val="clear" w:color="auto" w:fill="FFFFFF"/>
        <w:spacing w:beforeAutospacing="1"/>
        <w:rPr>
          <w:rFonts w:ascii="Poppins" w:hAnsi="Poppins" w:cs="Poppins"/>
          <w:color w:val="383838"/>
          <w:sz w:val="23"/>
          <w:szCs w:val="23"/>
        </w:rPr>
      </w:pPr>
      <w:r w:rsidRPr="00182BF3">
        <w:rPr>
          <w:rFonts w:ascii="Poppins" w:hAnsi="Poppins" w:cs="Poppins"/>
          <w:color w:val="383838"/>
          <w:sz w:val="23"/>
          <w:szCs w:val="23"/>
        </w:rPr>
        <w:t>Each individual must be willing to fulfill the total hours of service anticipated for the selected assignment.  </w:t>
      </w:r>
      <w:r w:rsidRPr="00182BF3">
        <w:rPr>
          <w:rFonts w:ascii="inherit" w:hAnsi="inherit" w:cs="Poppins"/>
          <w:color w:val="383838"/>
          <w:sz w:val="23"/>
          <w:szCs w:val="23"/>
          <w:u w:val="single"/>
          <w:bdr w:val="none" w:sz="0" w:space="0" w:color="auto" w:frame="1"/>
        </w:rPr>
        <w:t xml:space="preserve">There is no guarantee that an assignment will continue for the full </w:t>
      </w:r>
      <w:r w:rsidR="00DE7F37">
        <w:rPr>
          <w:rFonts w:ascii="inherit" w:hAnsi="inherit" w:cs="Poppins"/>
          <w:color w:val="383838"/>
          <w:sz w:val="23"/>
          <w:szCs w:val="23"/>
          <w:u w:val="single"/>
          <w:bdr w:val="none" w:sz="0" w:space="0" w:color="auto" w:frame="1"/>
        </w:rPr>
        <w:t>67</w:t>
      </w:r>
      <w:r w:rsidRPr="00182BF3">
        <w:rPr>
          <w:rFonts w:ascii="inherit" w:hAnsi="inherit" w:cs="Poppins"/>
          <w:color w:val="383838"/>
          <w:sz w:val="23"/>
          <w:szCs w:val="23"/>
          <w:u w:val="single"/>
          <w:bdr w:val="none" w:sz="0" w:space="0" w:color="auto" w:frame="1"/>
        </w:rPr>
        <w:t>hrs needed to receive the maximum tax abatement amount.</w:t>
      </w:r>
      <w:r w:rsidRPr="00182BF3">
        <w:rPr>
          <w:rFonts w:ascii="Poppins" w:hAnsi="Poppins" w:cs="Poppins"/>
          <w:color w:val="383838"/>
          <w:sz w:val="23"/>
          <w:szCs w:val="23"/>
        </w:rPr>
        <w:t xml:space="preserve"> The </w:t>
      </w:r>
      <w:r w:rsidR="00DE7F37">
        <w:rPr>
          <w:rFonts w:ascii="Poppins" w:hAnsi="Poppins" w:cs="Poppins"/>
          <w:color w:val="383838"/>
          <w:sz w:val="23"/>
          <w:szCs w:val="23"/>
        </w:rPr>
        <w:t>City of Springfield</w:t>
      </w:r>
      <w:r w:rsidRPr="00182BF3">
        <w:rPr>
          <w:rFonts w:ascii="Poppins" w:hAnsi="Poppins" w:cs="Poppins"/>
          <w:color w:val="383838"/>
          <w:sz w:val="23"/>
          <w:szCs w:val="23"/>
        </w:rPr>
        <w:t>, based on need, may place the participant in more than one (1) job in attempt to fulfill the total hours.</w:t>
      </w:r>
    </w:p>
    <w:p w14:paraId="6EC16D38" w14:textId="77777777" w:rsidR="00182BF3" w:rsidRPr="00182BF3" w:rsidRDefault="00182BF3" w:rsidP="00182BF3">
      <w:pPr>
        <w:numPr>
          <w:ilvl w:val="1"/>
          <w:numId w:val="5"/>
        </w:numPr>
        <w:shd w:val="clear" w:color="auto" w:fill="FFFFFF"/>
        <w:spacing w:before="100" w:beforeAutospacing="1" w:after="84"/>
        <w:rPr>
          <w:rFonts w:ascii="Poppins" w:hAnsi="Poppins" w:cs="Poppins"/>
          <w:color w:val="383838"/>
          <w:sz w:val="23"/>
          <w:szCs w:val="23"/>
        </w:rPr>
      </w:pPr>
      <w:r w:rsidRPr="00182BF3">
        <w:rPr>
          <w:rFonts w:ascii="Poppins" w:hAnsi="Poppins" w:cs="Poppins"/>
          <w:color w:val="383838"/>
          <w:sz w:val="23"/>
          <w:szCs w:val="23"/>
        </w:rPr>
        <w:t>Program participants may not work for relatives who are Town employees. </w:t>
      </w:r>
    </w:p>
    <w:p w14:paraId="0D87E8F2" w14:textId="4B712F8D" w:rsidR="00182BF3" w:rsidRPr="00182BF3" w:rsidRDefault="00182BF3" w:rsidP="00182BF3">
      <w:pPr>
        <w:numPr>
          <w:ilvl w:val="0"/>
          <w:numId w:val="5"/>
        </w:numPr>
        <w:shd w:val="clear" w:color="auto" w:fill="FFFFFF"/>
        <w:spacing w:before="100" w:beforeAutospacing="1" w:after="84"/>
        <w:rPr>
          <w:rFonts w:ascii="Poppins" w:hAnsi="Poppins" w:cs="Poppins"/>
          <w:color w:val="383838"/>
          <w:sz w:val="23"/>
          <w:szCs w:val="23"/>
        </w:rPr>
      </w:pPr>
      <w:r w:rsidRPr="00182BF3">
        <w:rPr>
          <w:rFonts w:ascii="Poppins" w:hAnsi="Poppins" w:cs="Poppins"/>
          <w:b/>
          <w:bCs/>
          <w:color w:val="383838"/>
          <w:sz w:val="23"/>
          <w:szCs w:val="23"/>
        </w:rPr>
        <w:t>Start of assignment</w:t>
      </w:r>
      <w:r w:rsidRPr="00182BF3">
        <w:rPr>
          <w:rFonts w:ascii="Poppins" w:hAnsi="Poppins" w:cs="Poppins"/>
          <w:color w:val="383838"/>
          <w:sz w:val="23"/>
          <w:szCs w:val="23"/>
        </w:rPr>
        <w:t xml:space="preserve">: Worksite schedule will be determined by worksite supervisor and participant. Work may commence for participants after </w:t>
      </w:r>
      <w:r w:rsidR="00FF6A8D">
        <w:rPr>
          <w:rFonts w:ascii="Poppins" w:hAnsi="Poppins" w:cs="Poppins"/>
          <w:color w:val="383838"/>
          <w:sz w:val="23"/>
          <w:szCs w:val="23"/>
        </w:rPr>
        <w:t>July 1</w:t>
      </w:r>
      <w:r w:rsidR="00FF6A8D" w:rsidRPr="00FF6A8D">
        <w:rPr>
          <w:rFonts w:ascii="Poppins" w:hAnsi="Poppins" w:cs="Poppins"/>
          <w:color w:val="383838"/>
          <w:sz w:val="23"/>
          <w:szCs w:val="23"/>
          <w:vertAlign w:val="superscript"/>
        </w:rPr>
        <w:t>st</w:t>
      </w:r>
      <w:r w:rsidR="00FF6A8D">
        <w:rPr>
          <w:rFonts w:ascii="Poppins" w:hAnsi="Poppins" w:cs="Poppins"/>
          <w:color w:val="383838"/>
          <w:sz w:val="23"/>
          <w:szCs w:val="23"/>
        </w:rPr>
        <w:t>-Octboer 1</w:t>
      </w:r>
      <w:r w:rsidR="00FF6A8D" w:rsidRPr="00FF6A8D">
        <w:rPr>
          <w:rFonts w:ascii="Poppins" w:hAnsi="Poppins" w:cs="Poppins"/>
          <w:color w:val="383838"/>
          <w:sz w:val="23"/>
          <w:szCs w:val="23"/>
          <w:vertAlign w:val="superscript"/>
        </w:rPr>
        <w:t>st</w:t>
      </w:r>
      <w:r w:rsidRPr="00182BF3">
        <w:rPr>
          <w:rFonts w:ascii="Poppins" w:hAnsi="Poppins" w:cs="Poppins"/>
          <w:color w:val="383838"/>
          <w:sz w:val="23"/>
          <w:szCs w:val="23"/>
        </w:rPr>
        <w:t xml:space="preserve"> of the respective period, and after receiving confirmation from the</w:t>
      </w:r>
      <w:r w:rsidR="00DF5653">
        <w:rPr>
          <w:rFonts w:ascii="Poppins" w:hAnsi="Poppins" w:cs="Poppins"/>
          <w:color w:val="383838"/>
          <w:sz w:val="23"/>
          <w:szCs w:val="23"/>
        </w:rPr>
        <w:t xml:space="preserve"> Elder Affairs </w:t>
      </w:r>
      <w:r w:rsidRPr="00182BF3">
        <w:rPr>
          <w:rFonts w:ascii="Poppins" w:hAnsi="Poppins" w:cs="Poppins"/>
          <w:color w:val="383838"/>
          <w:sz w:val="23"/>
          <w:szCs w:val="23"/>
        </w:rPr>
        <w:t>Department of the assignment.  There will be a two (2) week probationary period to assess the appropriateness of the placement.</w:t>
      </w:r>
    </w:p>
    <w:p w14:paraId="320044A3" w14:textId="1979BA6F" w:rsidR="00182BF3" w:rsidRPr="00182BF3" w:rsidRDefault="00182BF3" w:rsidP="00182BF3">
      <w:pPr>
        <w:numPr>
          <w:ilvl w:val="0"/>
          <w:numId w:val="5"/>
        </w:numPr>
        <w:shd w:val="clear" w:color="auto" w:fill="FFFFFF"/>
        <w:spacing w:beforeAutospacing="1"/>
        <w:rPr>
          <w:rFonts w:ascii="Poppins" w:hAnsi="Poppins" w:cs="Poppins"/>
          <w:color w:val="383838"/>
          <w:sz w:val="23"/>
          <w:szCs w:val="23"/>
        </w:rPr>
      </w:pPr>
      <w:r w:rsidRPr="00182BF3">
        <w:rPr>
          <w:rFonts w:ascii="Poppins" w:hAnsi="Poppins" w:cs="Poppins"/>
          <w:b/>
          <w:bCs/>
          <w:color w:val="383838"/>
          <w:sz w:val="23"/>
          <w:szCs w:val="23"/>
        </w:rPr>
        <w:t>Verification of hours</w:t>
      </w:r>
      <w:r w:rsidRPr="00182BF3">
        <w:rPr>
          <w:rFonts w:ascii="Poppins" w:hAnsi="Poppins" w:cs="Poppins"/>
          <w:color w:val="383838"/>
          <w:sz w:val="23"/>
          <w:szCs w:val="23"/>
        </w:rPr>
        <w:t>: </w:t>
      </w:r>
      <w:r w:rsidRPr="00182BF3">
        <w:rPr>
          <w:rFonts w:ascii="Century Gothic" w:hAnsi="Century Gothic" w:cs="Poppins"/>
          <w:color w:val="000000"/>
          <w:sz w:val="22"/>
          <w:szCs w:val="22"/>
          <w:bdr w:val="none" w:sz="0" w:space="0" w:color="auto" w:frame="1"/>
        </w:rPr>
        <w:t>Time sheets must be signed off by the worksite supervisor verifying hours worked. A final accounting of time worked will be submitted by the supervisor to th</w:t>
      </w:r>
      <w:r w:rsidRPr="00182BF3">
        <w:rPr>
          <w:rFonts w:ascii="Century Gothic" w:hAnsi="Century Gothic" w:cs="Poppins"/>
          <w:color w:val="000000"/>
          <w:sz w:val="22"/>
          <w:szCs w:val="22"/>
          <w:bdr w:val="none" w:sz="0" w:space="0" w:color="auto" w:frame="1"/>
          <w:shd w:val="clear" w:color="auto" w:fill="FFFFFF"/>
        </w:rPr>
        <w:t xml:space="preserve">e </w:t>
      </w:r>
      <w:r w:rsidR="00DF5653">
        <w:rPr>
          <w:rFonts w:ascii="Century Gothic" w:hAnsi="Century Gothic" w:cs="Poppins"/>
          <w:color w:val="000000"/>
          <w:sz w:val="22"/>
          <w:szCs w:val="22"/>
          <w:bdr w:val="none" w:sz="0" w:space="0" w:color="auto" w:frame="1"/>
          <w:shd w:val="clear" w:color="auto" w:fill="FFFFFF"/>
        </w:rPr>
        <w:t>Program Assistant</w:t>
      </w:r>
      <w:r w:rsidRPr="00182BF3">
        <w:rPr>
          <w:rFonts w:ascii="Century Gothic" w:hAnsi="Century Gothic" w:cs="Poppins"/>
          <w:color w:val="000000"/>
          <w:sz w:val="22"/>
          <w:szCs w:val="22"/>
          <w:bdr w:val="none" w:sz="0" w:space="0" w:color="auto" w:frame="1"/>
          <w:shd w:val="clear" w:color="auto" w:fill="FFFFFF"/>
        </w:rPr>
        <w:t xml:space="preserve"> and Assessor for the abatement based on the number of hours worked.</w:t>
      </w:r>
    </w:p>
    <w:p w14:paraId="4A465EFD" w14:textId="77777777" w:rsidR="00807E0C" w:rsidRDefault="00807E0C"/>
    <w:sectPr w:rsidR="00807E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oppins">
    <w:altName w:val="Times New Roman"/>
    <w:charset w:val="00"/>
    <w:family w:val="auto"/>
    <w:pitch w:val="variable"/>
    <w:sig w:usb0="00000001"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387E"/>
    <w:multiLevelType w:val="hybridMultilevel"/>
    <w:tmpl w:val="5806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C0B1E"/>
    <w:multiLevelType w:val="multilevel"/>
    <w:tmpl w:val="70109E7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4C995982"/>
    <w:multiLevelType w:val="multilevel"/>
    <w:tmpl w:val="414C5E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4F4B29D1"/>
    <w:multiLevelType w:val="multilevel"/>
    <w:tmpl w:val="EC089B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790F7676"/>
    <w:multiLevelType w:val="multilevel"/>
    <w:tmpl w:val="9EC8EB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031"/>
    <w:rsid w:val="0006255F"/>
    <w:rsid w:val="00097F32"/>
    <w:rsid w:val="000E69C1"/>
    <w:rsid w:val="0018038C"/>
    <w:rsid w:val="00182BF3"/>
    <w:rsid w:val="002A6032"/>
    <w:rsid w:val="002B4690"/>
    <w:rsid w:val="003A6DBF"/>
    <w:rsid w:val="004728DA"/>
    <w:rsid w:val="00532B31"/>
    <w:rsid w:val="00561510"/>
    <w:rsid w:val="00807E0C"/>
    <w:rsid w:val="00AE3C32"/>
    <w:rsid w:val="00C34452"/>
    <w:rsid w:val="00C440F8"/>
    <w:rsid w:val="00C748F3"/>
    <w:rsid w:val="00D17422"/>
    <w:rsid w:val="00D44031"/>
    <w:rsid w:val="00DB2D0D"/>
    <w:rsid w:val="00DE7F37"/>
    <w:rsid w:val="00DF5653"/>
    <w:rsid w:val="00E65B94"/>
    <w:rsid w:val="00EE5CC3"/>
    <w:rsid w:val="00F168DC"/>
    <w:rsid w:val="00F37EA5"/>
    <w:rsid w:val="00F51703"/>
    <w:rsid w:val="00F72E10"/>
    <w:rsid w:val="00FA1325"/>
    <w:rsid w:val="00FD5A83"/>
    <w:rsid w:val="00FF6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E6C06"/>
  <w15:docId w15:val="{B5C4ED0E-4F2B-4294-9787-BF103880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0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8DC"/>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807E0C"/>
    <w:rPr>
      <w:color w:val="0000FF" w:themeColor="hyperlink"/>
      <w:u w:val="single"/>
    </w:rPr>
  </w:style>
  <w:style w:type="character" w:customStyle="1" w:styleId="UnresolvedMention">
    <w:name w:val="Unresolved Mention"/>
    <w:basedOn w:val="DefaultParagraphFont"/>
    <w:uiPriority w:val="99"/>
    <w:semiHidden/>
    <w:unhideWhenUsed/>
    <w:rsid w:val="00807E0C"/>
    <w:rPr>
      <w:color w:val="605E5C"/>
      <w:shd w:val="clear" w:color="auto" w:fill="E1DFDD"/>
    </w:rPr>
  </w:style>
  <w:style w:type="paragraph" w:styleId="NoSpacing">
    <w:name w:val="No Spacing"/>
    <w:uiPriority w:val="1"/>
    <w:qFormat/>
    <w:rsid w:val="00807E0C"/>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07E0C"/>
    <w:rPr>
      <w:i/>
      <w:iCs/>
    </w:rPr>
  </w:style>
  <w:style w:type="character" w:styleId="Strong">
    <w:name w:val="Strong"/>
    <w:basedOn w:val="DefaultParagraphFont"/>
    <w:uiPriority w:val="22"/>
    <w:qFormat/>
    <w:rsid w:val="00807E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45312">
      <w:bodyDiv w:val="1"/>
      <w:marLeft w:val="0"/>
      <w:marRight w:val="0"/>
      <w:marTop w:val="0"/>
      <w:marBottom w:val="0"/>
      <w:divBdr>
        <w:top w:val="none" w:sz="0" w:space="0" w:color="auto"/>
        <w:left w:val="none" w:sz="0" w:space="0" w:color="auto"/>
        <w:bottom w:val="none" w:sz="0" w:space="0" w:color="auto"/>
        <w:right w:val="none" w:sz="0" w:space="0" w:color="auto"/>
      </w:divBdr>
    </w:div>
    <w:div w:id="475220907">
      <w:bodyDiv w:val="1"/>
      <w:marLeft w:val="0"/>
      <w:marRight w:val="0"/>
      <w:marTop w:val="0"/>
      <w:marBottom w:val="0"/>
      <w:divBdr>
        <w:top w:val="none" w:sz="0" w:space="0" w:color="auto"/>
        <w:left w:val="none" w:sz="0" w:space="0" w:color="auto"/>
        <w:bottom w:val="none" w:sz="0" w:space="0" w:color="auto"/>
        <w:right w:val="none" w:sz="0" w:space="0" w:color="auto"/>
      </w:divBdr>
    </w:div>
    <w:div w:id="95474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massachusetts-senior-circuit-breaker-tax-credit" TargetMode="External"/><Relationship Id="rId3" Type="http://schemas.openxmlformats.org/officeDocument/2006/relationships/styles" Target="styles.xml"/><Relationship Id="rId7" Type="http://schemas.openxmlformats.org/officeDocument/2006/relationships/hyperlink" Target="https://www.mass.gov/info-details/massachusetts-senior-circuit-breaker-tax-cred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axWorkOff@springfieldcityhal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legislature.gov/Laws/GeneralLaws/PartI/TitleIX/Chapter59/Section5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AD0D4-3859-4972-AC89-21D7402EA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1212</Words>
  <Characters>6915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City of Springfield</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Germain, Alicia M.</dc:creator>
  <cp:lastModifiedBy>Mendez, Ariel</cp:lastModifiedBy>
  <cp:revision>2</cp:revision>
  <cp:lastPrinted>2024-12-16T20:57:00Z</cp:lastPrinted>
  <dcterms:created xsi:type="dcterms:W3CDTF">2025-03-11T20:02:00Z</dcterms:created>
  <dcterms:modified xsi:type="dcterms:W3CDTF">2025-03-11T20:02:00Z</dcterms:modified>
</cp:coreProperties>
</file>