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BD" w:rsidRPr="00DA12BD" w:rsidRDefault="00DA12BD" w:rsidP="00DA12BD">
      <w:pPr>
        <w:spacing w:after="0"/>
        <w:jc w:val="center"/>
        <w:outlineLvl w:val="0"/>
        <w:rPr>
          <w:rFonts w:ascii="Times New Roman Bold" w:eastAsia="Times New Roman" w:hAnsi="Times New Roman Bold" w:cs="Times New Roman"/>
          <w:b/>
          <w:smallCaps/>
          <w:sz w:val="28"/>
          <w:szCs w:val="28"/>
          <w:u w:val="single"/>
        </w:rPr>
      </w:pPr>
      <w:r w:rsidRPr="00DA12BD">
        <w:rPr>
          <w:rFonts w:ascii="Times New Roman Bold" w:eastAsia="Times New Roman" w:hAnsi="Times New Roman Bold" w:cs="Times New Roman"/>
          <w:b/>
          <w:smallCaps/>
          <w:sz w:val="28"/>
          <w:szCs w:val="28"/>
          <w:u w:val="single"/>
        </w:rPr>
        <w:t>City of Springfield, MA</w:t>
      </w:r>
    </w:p>
    <w:p w:rsidR="00DA12BD" w:rsidRPr="00DA12BD" w:rsidRDefault="00DA12BD" w:rsidP="00DA12BD">
      <w:pPr>
        <w:spacing w:after="0"/>
        <w:jc w:val="center"/>
        <w:outlineLvl w:val="0"/>
        <w:rPr>
          <w:rFonts w:ascii="Times New Roman Bold" w:eastAsia="Times New Roman" w:hAnsi="Times New Roman Bold" w:cs="Times New Roman"/>
          <w:smallCaps/>
          <w:sz w:val="28"/>
          <w:szCs w:val="28"/>
        </w:rPr>
      </w:pPr>
      <w:r w:rsidRPr="005841F4">
        <w:rPr>
          <w:rFonts w:ascii="Times New Roman Bold" w:eastAsia="Times New Roman" w:hAnsi="Times New Roman Bold" w:cs="Times New Roman"/>
          <w:b/>
          <w:smallCaps/>
          <w:sz w:val="28"/>
          <w:szCs w:val="28"/>
          <w:u w:val="single"/>
        </w:rPr>
        <w:t>CDBG-DR</w:t>
      </w:r>
      <w:r w:rsidRPr="00DA12BD">
        <w:rPr>
          <w:rFonts w:ascii="Times New Roman Bold" w:eastAsia="Times New Roman" w:hAnsi="Times New Roman Bold" w:cs="Times New Roman"/>
          <w:b/>
          <w:smallCaps/>
          <w:sz w:val="28"/>
          <w:szCs w:val="28"/>
          <w:u w:val="single"/>
        </w:rPr>
        <w:t xml:space="preserve"> Substantial Amendment</w:t>
      </w:r>
    </w:p>
    <w:p w:rsidR="00DA12BD" w:rsidRPr="00DA12BD" w:rsidRDefault="00DA12BD" w:rsidP="00DA12BD">
      <w:pPr>
        <w:spacing w:after="0"/>
        <w:ind w:firstLine="720"/>
        <w:outlineLvl w:val="0"/>
        <w:rPr>
          <w:rFonts w:ascii="Times New Roman" w:eastAsia="Times New Roman" w:hAnsi="Times New Roman" w:cs="Times New Roman"/>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A12BD" w:rsidRPr="00DA12BD" w:rsidTr="009A0A6B">
        <w:tc>
          <w:tcPr>
            <w:tcW w:w="4428" w:type="dxa"/>
          </w:tcPr>
          <w:p w:rsidR="00DA12BD" w:rsidRPr="00DA12BD" w:rsidRDefault="00DA12BD" w:rsidP="00DA12BD">
            <w:pPr>
              <w:tabs>
                <w:tab w:val="left" w:pos="2940"/>
              </w:tabs>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Jurisdiction(s): </w:t>
            </w:r>
            <w:smartTag w:uri="urn:schemas-microsoft-com:office:smarttags" w:element="place">
              <w:smartTag w:uri="urn:schemas-microsoft-com:office:smarttags" w:element="City">
                <w:r w:rsidRPr="00DA12BD">
                  <w:rPr>
                    <w:rFonts w:ascii="Times New Roman" w:eastAsia="Times New Roman" w:hAnsi="Times New Roman" w:cs="Times New Roman"/>
                    <w:szCs w:val="24"/>
                  </w:rPr>
                  <w:t>Springfield</w:t>
                </w:r>
              </w:smartTag>
              <w:r w:rsidRPr="00DA12BD">
                <w:rPr>
                  <w:rFonts w:ascii="Times New Roman" w:eastAsia="Times New Roman" w:hAnsi="Times New Roman" w:cs="Times New Roman"/>
                  <w:szCs w:val="24"/>
                </w:rPr>
                <w:t xml:space="preserve">, </w:t>
              </w:r>
              <w:smartTag w:uri="urn:schemas-microsoft-com:office:smarttags" w:element="State">
                <w:r w:rsidRPr="00DA12BD">
                  <w:rPr>
                    <w:rFonts w:ascii="Times New Roman" w:eastAsia="Times New Roman" w:hAnsi="Times New Roman" w:cs="Times New Roman"/>
                    <w:szCs w:val="24"/>
                  </w:rPr>
                  <w:t>MA</w:t>
                </w:r>
              </w:smartTag>
            </w:smartTag>
            <w:r w:rsidRPr="00DA12BD">
              <w:rPr>
                <w:rFonts w:ascii="Times New Roman" w:eastAsia="Times New Roman" w:hAnsi="Times New Roman" w:cs="Times New Roman"/>
                <w:szCs w:val="24"/>
              </w:rPr>
              <w:t xml:space="preserve">         </w:t>
            </w:r>
          </w:p>
          <w:p w:rsidR="00DA12BD" w:rsidRPr="00DA12BD" w:rsidRDefault="00DA12BD" w:rsidP="00DA12BD">
            <w:pPr>
              <w:tabs>
                <w:tab w:val="left" w:pos="2940"/>
              </w:tabs>
              <w:autoSpaceDE w:val="0"/>
              <w:autoSpaceDN w:val="0"/>
              <w:adjustRightInd w:val="0"/>
              <w:spacing w:after="0"/>
              <w:rPr>
                <w:rFonts w:ascii="Times New Roman" w:eastAsia="Times New Roman" w:hAnsi="Times New Roman" w:cs="Times New Roman"/>
                <w:szCs w:val="24"/>
              </w:rPr>
            </w:pP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Jurisdiction Web Address:     </w:t>
            </w:r>
          </w:p>
          <w:p w:rsidR="00DA12BD" w:rsidRPr="00D34B3C" w:rsidRDefault="00A17017" w:rsidP="00D34B3C">
            <w:pPr>
              <w:autoSpaceDE w:val="0"/>
              <w:autoSpaceDN w:val="0"/>
              <w:adjustRightInd w:val="0"/>
              <w:spacing w:after="0"/>
              <w:rPr>
                <w:rFonts w:ascii="Times New Roman" w:eastAsia="Times New Roman" w:hAnsi="Times New Roman" w:cs="Times New Roman"/>
                <w:szCs w:val="24"/>
              </w:rPr>
            </w:pPr>
            <w:hyperlink r:id="rId8" w:history="1">
              <w:r w:rsidR="00D34B3C" w:rsidRPr="00D34B3C">
                <w:rPr>
                  <w:rStyle w:val="Hyperlink"/>
                  <w:rFonts w:ascii="Times New Roman" w:eastAsia="Times New Roman" w:hAnsi="Times New Roman" w:cs="Times New Roman"/>
                  <w:szCs w:val="24"/>
                </w:rPr>
                <w:t>http://www3.springfield-ma.gov/planning/cdbg-dr.0.html</w:t>
              </w:r>
            </w:hyperlink>
          </w:p>
          <w:p w:rsidR="00D34B3C" w:rsidRPr="00DA12BD" w:rsidRDefault="00D34B3C" w:rsidP="00D34B3C">
            <w:pPr>
              <w:autoSpaceDE w:val="0"/>
              <w:autoSpaceDN w:val="0"/>
              <w:adjustRightInd w:val="0"/>
              <w:spacing w:after="0"/>
              <w:rPr>
                <w:rFonts w:ascii="Times New Roman" w:eastAsia="Times New Roman" w:hAnsi="Times New Roman" w:cs="Times New Roman"/>
                <w:i/>
                <w:szCs w:val="24"/>
              </w:rPr>
            </w:pPr>
          </w:p>
        </w:tc>
        <w:tc>
          <w:tcPr>
            <w:tcW w:w="4428" w:type="dxa"/>
          </w:tcPr>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 Contact Person: Tina Quagliato</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     Director, Office of Disaster Recovery</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Address:  </w:t>
            </w:r>
            <w:r w:rsidR="00FF546A">
              <w:rPr>
                <w:rFonts w:ascii="Times New Roman" w:eastAsia="Times New Roman" w:hAnsi="Times New Roman" w:cs="Times New Roman"/>
                <w:szCs w:val="24"/>
              </w:rPr>
              <w:t>36 Court Street, Room 405</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     </w:t>
            </w:r>
            <w:smartTag w:uri="urn:schemas-microsoft-com:office:smarttags" w:element="place">
              <w:smartTag w:uri="urn:schemas-microsoft-com:office:smarttags" w:element="City">
                <w:r w:rsidRPr="00DA12BD">
                  <w:rPr>
                    <w:rFonts w:ascii="Times New Roman" w:eastAsia="Times New Roman" w:hAnsi="Times New Roman" w:cs="Times New Roman"/>
                    <w:szCs w:val="24"/>
                  </w:rPr>
                  <w:t>Springfield</w:t>
                </w:r>
              </w:smartTag>
              <w:r w:rsidRPr="00DA12BD">
                <w:rPr>
                  <w:rFonts w:ascii="Times New Roman" w:eastAsia="Times New Roman" w:hAnsi="Times New Roman" w:cs="Times New Roman"/>
                  <w:szCs w:val="24"/>
                </w:rPr>
                <w:t xml:space="preserve">, </w:t>
              </w:r>
              <w:smartTag w:uri="urn:schemas-microsoft-com:office:smarttags" w:element="State">
                <w:r w:rsidRPr="00DA12BD">
                  <w:rPr>
                    <w:rFonts w:ascii="Times New Roman" w:eastAsia="Times New Roman" w:hAnsi="Times New Roman" w:cs="Times New Roman"/>
                    <w:szCs w:val="24"/>
                  </w:rPr>
                  <w:t>MA</w:t>
                </w:r>
              </w:smartTag>
              <w:r w:rsidRPr="00DA12BD">
                <w:rPr>
                  <w:rFonts w:ascii="Times New Roman" w:eastAsia="Times New Roman" w:hAnsi="Times New Roman" w:cs="Times New Roman"/>
                  <w:szCs w:val="24"/>
                </w:rPr>
                <w:t xml:space="preserve"> </w:t>
              </w:r>
              <w:smartTag w:uri="urn:schemas-microsoft-com:office:smarttags" w:element="PostalCode">
                <w:r w:rsidRPr="00DA12BD">
                  <w:rPr>
                    <w:rFonts w:ascii="Times New Roman" w:eastAsia="Times New Roman" w:hAnsi="Times New Roman" w:cs="Times New Roman"/>
                    <w:szCs w:val="24"/>
                  </w:rPr>
                  <w:t>01103</w:t>
                </w:r>
              </w:smartTag>
            </w:smartTag>
            <w:r w:rsidRPr="00DA12BD">
              <w:rPr>
                <w:rFonts w:ascii="Times New Roman" w:eastAsia="Times New Roman" w:hAnsi="Times New Roman" w:cs="Times New Roman"/>
                <w:szCs w:val="24"/>
              </w:rPr>
              <w:t xml:space="preserve">             </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Telephone:</w:t>
            </w:r>
            <w:r>
              <w:rPr>
                <w:rFonts w:ascii="Times New Roman" w:eastAsia="Times New Roman" w:hAnsi="Times New Roman" w:cs="Times New Roman"/>
                <w:szCs w:val="24"/>
              </w:rPr>
              <w:t xml:space="preserve"> (413)</w:t>
            </w:r>
            <w:r w:rsidR="00FF546A">
              <w:rPr>
                <w:rFonts w:ascii="Times New Roman" w:eastAsia="Times New Roman" w:hAnsi="Times New Roman" w:cs="Times New Roman"/>
                <w:szCs w:val="24"/>
              </w:rPr>
              <w:t xml:space="preserve"> 750-2114</w:t>
            </w:r>
            <w:r>
              <w:rPr>
                <w:rFonts w:ascii="Times New Roman" w:eastAsia="Times New Roman" w:hAnsi="Times New Roman" w:cs="Times New Roman"/>
                <w:szCs w:val="24"/>
              </w:rPr>
              <w:t xml:space="preserve">             </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Email: </w:t>
            </w:r>
            <w:r w:rsidR="00FF546A">
              <w:rPr>
                <w:rFonts w:ascii="Times New Roman" w:eastAsia="Times New Roman" w:hAnsi="Times New Roman" w:cs="Times New Roman"/>
                <w:szCs w:val="24"/>
              </w:rPr>
              <w:t>tquagliato@springfieldcityhall.com</w:t>
            </w:r>
            <w:r w:rsidRPr="00DA12BD">
              <w:rPr>
                <w:rFonts w:ascii="Times New Roman" w:eastAsia="Times New Roman" w:hAnsi="Times New Roman" w:cs="Times New Roman"/>
                <w:szCs w:val="24"/>
              </w:rPr>
              <w:t xml:space="preserve">                      </w:t>
            </w:r>
          </w:p>
        </w:tc>
      </w:tr>
    </w:tbl>
    <w:p w:rsidR="00DA12BD" w:rsidRPr="00DA12BD" w:rsidRDefault="00DA12BD" w:rsidP="00DA12BD">
      <w:pPr>
        <w:spacing w:after="0"/>
        <w:rPr>
          <w:rFonts w:ascii="Times New Roman" w:eastAsia="Times New Roman" w:hAnsi="Times New Roman" w:cs="Times New Roman"/>
          <w:b/>
          <w:i/>
          <w:smallCaps/>
          <w:szCs w:val="24"/>
        </w:rPr>
      </w:pPr>
    </w:p>
    <w:p w:rsidR="00D34B3C" w:rsidRDefault="00513C9A" w:rsidP="00F65A91">
      <w:pPr>
        <w:pStyle w:val="Default"/>
      </w:pPr>
      <w:r>
        <w:t>As a result of several presidentially declared disasters in 2011 (</w:t>
      </w:r>
      <w:r w:rsidR="00042748">
        <w:t>DR-1994, DR-4028, DR-4051)</w:t>
      </w:r>
      <w:r>
        <w:t xml:space="preserve"> t</w:t>
      </w:r>
      <w:r w:rsidR="00D34B3C" w:rsidRPr="00D34B3C">
        <w:t>he City of Springfield was allocated $21,896,000</w:t>
      </w:r>
      <w:r w:rsidR="00D34B3C">
        <w:t xml:space="preserve"> in CDBG-DR funds under the Disaster Relief Appropriations Act of 2013 (P</w:t>
      </w:r>
      <w:r w:rsidR="00042748">
        <w:t>.L.</w:t>
      </w:r>
      <w:r w:rsidR="00D34B3C">
        <w:t xml:space="preserve"> 113-2)</w:t>
      </w:r>
      <w:r w:rsidR="00042748">
        <w:t xml:space="preserve"> and </w:t>
      </w:r>
      <w:r w:rsidR="00D34B3C">
        <w:t>subject to guidance provided by HUD</w:t>
      </w:r>
      <w:r>
        <w:t xml:space="preserve"> on March 5, 2013 (FR-5696-N-01)</w:t>
      </w:r>
      <w:r w:rsidR="00D34B3C">
        <w:t xml:space="preserve">.  </w:t>
      </w:r>
      <w:r w:rsidR="00042748">
        <w:t xml:space="preserve">In accordance with that guidance, this is an amendment to the City of Springfield’s Partial Action Plan A, which was approved by HUD on December 11, 2013. </w:t>
      </w:r>
    </w:p>
    <w:p w:rsidR="00D04DEB" w:rsidRDefault="00D04DEB" w:rsidP="00F65A91">
      <w:pPr>
        <w:pStyle w:val="Default"/>
      </w:pPr>
    </w:p>
    <w:p w:rsidR="00D04DEB" w:rsidRDefault="00D04DEB" w:rsidP="00F65A91">
      <w:pPr>
        <w:pStyle w:val="Default"/>
      </w:pPr>
      <w:r>
        <w:t>This Substantial Amendment makes two changes to Springfield’s CDBG-DR Action Plan A.</w:t>
      </w:r>
    </w:p>
    <w:p w:rsidR="00513C9A" w:rsidRPr="00D34B3C" w:rsidRDefault="00513C9A" w:rsidP="00F65A91">
      <w:pPr>
        <w:pStyle w:val="Default"/>
      </w:pPr>
    </w:p>
    <w:p w:rsidR="005841F4" w:rsidRDefault="00D04DEB" w:rsidP="00D04DEB">
      <w:pPr>
        <w:pStyle w:val="Default"/>
        <w:rPr>
          <w:b/>
          <w:u w:val="single"/>
        </w:rPr>
      </w:pPr>
      <w:r>
        <w:rPr>
          <w:b/>
          <w:u w:val="single"/>
        </w:rPr>
        <w:t xml:space="preserve">Change #1: </w:t>
      </w:r>
      <w:r w:rsidR="005841F4">
        <w:rPr>
          <w:b/>
          <w:u w:val="single"/>
        </w:rPr>
        <w:t>Additional Activity</w:t>
      </w:r>
    </w:p>
    <w:p w:rsidR="00D04DEB" w:rsidRDefault="00D04DEB" w:rsidP="00D04DEB">
      <w:pPr>
        <w:pStyle w:val="Default"/>
        <w:rPr>
          <w:b/>
          <w:u w:val="single"/>
        </w:rPr>
      </w:pPr>
    </w:p>
    <w:p w:rsidR="00F65A91" w:rsidRDefault="00F65A91" w:rsidP="00DA12BD">
      <w:pPr>
        <w:pStyle w:val="Default"/>
        <w:jc w:val="both"/>
      </w:pPr>
      <w:r>
        <w:t>The following activity will be added w</w:t>
      </w:r>
      <w:r w:rsidR="008F0010">
        <w:t>ith funds from the pre-existing Busin</w:t>
      </w:r>
      <w:r w:rsidR="00041669">
        <w:t>ess Loan Program:</w:t>
      </w:r>
    </w:p>
    <w:p w:rsidR="00F65A91" w:rsidRDefault="00F65A91" w:rsidP="00DA12BD">
      <w:pPr>
        <w:pStyle w:val="Default"/>
        <w:jc w:val="both"/>
      </w:pPr>
    </w:p>
    <w:p w:rsidR="00F65A91" w:rsidRPr="005841F4" w:rsidRDefault="00F65A91" w:rsidP="00D04DEB">
      <w:pPr>
        <w:pStyle w:val="Default"/>
        <w:jc w:val="both"/>
        <w:rPr>
          <w:b/>
        </w:rPr>
      </w:pPr>
      <w:r w:rsidRPr="005841F4">
        <w:rPr>
          <w:b/>
        </w:rPr>
        <w:t>Historic Preservation Grant Program</w:t>
      </w:r>
    </w:p>
    <w:p w:rsidR="00F65A91" w:rsidRDefault="00F65A91" w:rsidP="00DA12BD">
      <w:pPr>
        <w:pStyle w:val="Default"/>
        <w:jc w:val="both"/>
      </w:pPr>
    </w:p>
    <w:p w:rsidR="002B3367" w:rsidRDefault="00041669" w:rsidP="00DA12BD">
      <w:pPr>
        <w:pStyle w:val="Default"/>
        <w:jc w:val="both"/>
      </w:pPr>
      <w:r>
        <w:t xml:space="preserve">The </w:t>
      </w:r>
      <w:r w:rsidR="005841F4">
        <w:t xml:space="preserve">City will establish a </w:t>
      </w:r>
      <w:r>
        <w:t>Historic Preservation Grant Program</w:t>
      </w:r>
      <w:r w:rsidR="005841F4">
        <w:t xml:space="preserve">, which will provide </w:t>
      </w:r>
      <w:r>
        <w:t>$200,000</w:t>
      </w:r>
      <w:r w:rsidR="005841F4" w:rsidRPr="005841F4">
        <w:t xml:space="preserve"> </w:t>
      </w:r>
      <w:r w:rsidR="005841F4">
        <w:t>to fund exterior improvements to historic properties which remain damage</w:t>
      </w:r>
      <w:r w:rsidR="00D34B3C">
        <w:t xml:space="preserve">d as a result of the disaster. </w:t>
      </w:r>
      <w:r w:rsidR="00DA12BD">
        <w:t>F</w:t>
      </w:r>
      <w:r>
        <w:t xml:space="preserve">unds </w:t>
      </w:r>
      <w:r w:rsidR="00DA12BD">
        <w:t xml:space="preserve">for this new activity are made available through a reduction of funding for the existing </w:t>
      </w:r>
      <w:r>
        <w:t>Business Loan Program</w:t>
      </w:r>
      <w:r w:rsidR="00DA12BD">
        <w:t xml:space="preserve">. </w:t>
      </w:r>
      <w:r w:rsidR="00D34B3C">
        <w:t xml:space="preserve">The Business Loan Program was made available to the public in December, 2014 and no applications have been approved to date, therefore the City is reallocating some of the funds of this program to the new activity. </w:t>
      </w:r>
      <w:r w:rsidR="00CB1DA6">
        <w:t xml:space="preserve">There will remain $300,000 in funding in Partial Action Plan A for any potential applicants/beneficiaries that may apply in the future.  </w:t>
      </w:r>
    </w:p>
    <w:p w:rsidR="00D34B3C" w:rsidRDefault="00D34B3C" w:rsidP="00DA12BD">
      <w:pPr>
        <w:pStyle w:val="Default"/>
        <w:jc w:val="both"/>
      </w:pPr>
    </w:p>
    <w:p w:rsidR="002B3367" w:rsidRDefault="00DA12BD" w:rsidP="00DA12BD">
      <w:pPr>
        <w:pStyle w:val="Default"/>
        <w:jc w:val="both"/>
      </w:pPr>
      <w:r>
        <w:t>In</w:t>
      </w:r>
      <w:r w:rsidR="002B3367">
        <w:t xml:space="preserve"> the immediate aftermath of the tornado, </w:t>
      </w:r>
      <w:r>
        <w:t xml:space="preserve">due to </w:t>
      </w:r>
      <w:r w:rsidR="002B3367">
        <w:t>public safety</w:t>
      </w:r>
      <w:r>
        <w:t xml:space="preserve"> concerns, </w:t>
      </w:r>
      <w:r w:rsidR="002B3367">
        <w:t>the Ci</w:t>
      </w:r>
      <w:r w:rsidR="00BD40F4">
        <w:t>ty of Springfield demolish</w:t>
      </w:r>
      <w:r>
        <w:t>ed</w:t>
      </w:r>
      <w:r w:rsidR="00BD40F4">
        <w:t xml:space="preserve"> the r</w:t>
      </w:r>
      <w:r w:rsidR="002B3367">
        <w:t xml:space="preserve">ear </w:t>
      </w:r>
      <w:r w:rsidR="00BD40F4">
        <w:t>drill s</w:t>
      </w:r>
      <w:r w:rsidR="002B3367">
        <w:t>hed at the historic Howard Street Armory, which is listed on the National Register of Historic Places</w:t>
      </w:r>
      <w:r w:rsidR="0007274D">
        <w:t xml:space="preserve"> and was occupied at the time of disaster by the South End Community Center</w:t>
      </w:r>
      <w:r w:rsidR="002B3367">
        <w:t>.  FEMA and the Massachusetts Historic Commission determined that the emergency demolition of the drill shed had an adverse effect because it resulted in the loss of a portion of a historic property that still retained historic integrity and significance after the tornado.  The City and FEMA have</w:t>
      </w:r>
      <w:r w:rsidR="0007274D">
        <w:t xml:space="preserve"> entered into a Memorandum of Agreement</w:t>
      </w:r>
      <w:r w:rsidR="00041669">
        <w:t>, in accordance with 36 CFR Part 800,</w:t>
      </w:r>
      <w:r w:rsidR="0007274D">
        <w:t xml:space="preserve"> that will allow an Alternate Project to </w:t>
      </w:r>
      <w:r w:rsidR="002B3367">
        <w:t>direct FEMA program funds for repair and replacement of the Howard Street Armory to reestablish the functions of the South End Community Center and Senior Center at new locations. The</w:t>
      </w:r>
      <w:r w:rsidR="0007274D">
        <w:t xml:space="preserve"> MOA stipulates that one of the</w:t>
      </w:r>
      <w:r w:rsidR="002B3367">
        <w:t xml:space="preserve"> treatment m</w:t>
      </w:r>
      <w:r w:rsidR="00BD40F4">
        <w:t>easures required to resolve the</w:t>
      </w:r>
      <w:r w:rsidR="002B3367">
        <w:t xml:space="preserve"> adverse effect</w:t>
      </w:r>
      <w:r w:rsidR="00BD40F4">
        <w:t xml:space="preserve"> of the emergency demolition</w:t>
      </w:r>
      <w:r w:rsidR="0007274D">
        <w:t xml:space="preserve"> is that</w:t>
      </w:r>
      <w:r w:rsidR="002B3367">
        <w:t xml:space="preserve"> the City is required to develop the Historic Preservation Grant Program.  </w:t>
      </w:r>
    </w:p>
    <w:p w:rsidR="00D65479" w:rsidRDefault="00D65479" w:rsidP="00DA12BD">
      <w:pPr>
        <w:pStyle w:val="Default"/>
        <w:jc w:val="both"/>
      </w:pPr>
    </w:p>
    <w:p w:rsidR="00D65479" w:rsidRDefault="00D65479" w:rsidP="00DA12BD">
      <w:pPr>
        <w:pStyle w:val="Default"/>
        <w:jc w:val="both"/>
      </w:pPr>
      <w:r>
        <w:lastRenderedPageBreak/>
        <w:t xml:space="preserve">The MOA was developed in consultation with </w:t>
      </w:r>
      <w:r w:rsidR="006F047A">
        <w:t>FEMA, MEMA, City of Springfield, Massachusetts Historic Commission, Springfield Historic Commission, Springfield Preservation Trust, Preservation Massachusetts, Develop Springfield, South End Citizens’ Council and the South End Community Center.</w:t>
      </w:r>
    </w:p>
    <w:p w:rsidR="000B454A" w:rsidRDefault="000B454A" w:rsidP="00DA12BD">
      <w:pPr>
        <w:pStyle w:val="Default"/>
        <w:jc w:val="both"/>
        <w:rPr>
          <w:b/>
          <w:u w:val="single"/>
        </w:rPr>
      </w:pPr>
    </w:p>
    <w:p w:rsidR="002B3367" w:rsidRDefault="00BD40F4" w:rsidP="00DA12BD">
      <w:pPr>
        <w:pStyle w:val="Default"/>
        <w:jc w:val="both"/>
      </w:pPr>
      <w:r w:rsidRPr="00D65479">
        <w:rPr>
          <w:b/>
        </w:rPr>
        <w:t>Allocation for Activity:</w:t>
      </w:r>
      <w:r>
        <w:t xml:space="preserve"> $200,000</w:t>
      </w:r>
    </w:p>
    <w:p w:rsidR="005841F4" w:rsidRDefault="005841F4" w:rsidP="00DA12BD">
      <w:pPr>
        <w:pStyle w:val="Default"/>
        <w:jc w:val="both"/>
      </w:pPr>
    </w:p>
    <w:p w:rsidR="00BD40F4" w:rsidRDefault="00BD40F4" w:rsidP="00DA12BD">
      <w:pPr>
        <w:pStyle w:val="Default"/>
        <w:jc w:val="both"/>
      </w:pPr>
      <w:r w:rsidRPr="00D65479">
        <w:rPr>
          <w:b/>
        </w:rPr>
        <w:t>Eligible Applicants:</w:t>
      </w:r>
      <w:r>
        <w:t xml:space="preserve"> Property owners whose property is located within</w:t>
      </w:r>
      <w:r w:rsidR="00796DA8">
        <w:t xml:space="preserve"> a CDBG eligible area and in</w:t>
      </w:r>
      <w:r>
        <w:t xml:space="preserve"> a National Register District and/or Local Historic District </w:t>
      </w:r>
      <w:r w:rsidR="00796DA8">
        <w:t xml:space="preserve">and </w:t>
      </w:r>
      <w:r>
        <w:t>that</w:t>
      </w:r>
      <w:r w:rsidR="00796DA8">
        <w:t xml:space="preserve"> continues to sustain damage from the June 1, 2011 tornado.  </w:t>
      </w:r>
    </w:p>
    <w:p w:rsidR="005841F4" w:rsidRDefault="005841F4" w:rsidP="00DA12BD">
      <w:pPr>
        <w:pStyle w:val="Default"/>
        <w:jc w:val="both"/>
      </w:pPr>
    </w:p>
    <w:p w:rsidR="00BD40F4" w:rsidRPr="00D65479" w:rsidRDefault="00796DA8" w:rsidP="00DA12BD">
      <w:pPr>
        <w:pStyle w:val="Default"/>
        <w:jc w:val="both"/>
        <w:rPr>
          <w:b/>
        </w:rPr>
      </w:pPr>
      <w:r w:rsidRPr="00D65479">
        <w:rPr>
          <w:b/>
        </w:rPr>
        <w:t>Eligibility Criteria:</w:t>
      </w:r>
    </w:p>
    <w:p w:rsidR="00796DA8" w:rsidRDefault="00796DA8" w:rsidP="00DA12BD">
      <w:pPr>
        <w:pStyle w:val="Default"/>
        <w:numPr>
          <w:ilvl w:val="0"/>
          <w:numId w:val="2"/>
        </w:numPr>
        <w:jc w:val="both"/>
      </w:pPr>
      <w:r>
        <w:t>Property must still have unrepaired damage from the tornado</w:t>
      </w:r>
    </w:p>
    <w:p w:rsidR="00796DA8" w:rsidRDefault="00796DA8" w:rsidP="00DA12BD">
      <w:pPr>
        <w:pStyle w:val="Default"/>
        <w:numPr>
          <w:ilvl w:val="0"/>
          <w:numId w:val="2"/>
        </w:numPr>
        <w:jc w:val="both"/>
      </w:pPr>
      <w:r>
        <w:t>Property must be located within the disaster impacted area</w:t>
      </w:r>
    </w:p>
    <w:p w:rsidR="00796DA8" w:rsidRDefault="00796DA8" w:rsidP="00DA12BD">
      <w:pPr>
        <w:pStyle w:val="Default"/>
        <w:numPr>
          <w:ilvl w:val="0"/>
          <w:numId w:val="2"/>
        </w:numPr>
        <w:jc w:val="both"/>
      </w:pPr>
      <w:r>
        <w:t>Property must be located within a National Register District or a Local Historic District</w:t>
      </w:r>
    </w:p>
    <w:p w:rsidR="00796DA8" w:rsidRDefault="00796DA8" w:rsidP="00DA12BD">
      <w:pPr>
        <w:pStyle w:val="Default"/>
        <w:numPr>
          <w:ilvl w:val="0"/>
          <w:numId w:val="2"/>
        </w:numPr>
        <w:jc w:val="both"/>
      </w:pPr>
      <w:r>
        <w:t>Property must be located within a CDBG eligible area</w:t>
      </w:r>
    </w:p>
    <w:p w:rsidR="00D923D4" w:rsidRDefault="00796DA8" w:rsidP="00DA12BD">
      <w:pPr>
        <w:pStyle w:val="Default"/>
        <w:numPr>
          <w:ilvl w:val="0"/>
          <w:numId w:val="2"/>
        </w:numPr>
        <w:jc w:val="both"/>
      </w:pPr>
      <w:r>
        <w:t>Program funds will be limited to exterior repairs</w:t>
      </w:r>
    </w:p>
    <w:p w:rsidR="005841F4" w:rsidRDefault="005841F4" w:rsidP="005841F4">
      <w:pPr>
        <w:pStyle w:val="Default"/>
        <w:ind w:left="720"/>
        <w:jc w:val="both"/>
      </w:pPr>
    </w:p>
    <w:p w:rsidR="00796DA8" w:rsidRDefault="00796DA8" w:rsidP="00DA12BD">
      <w:pPr>
        <w:pStyle w:val="Default"/>
        <w:jc w:val="both"/>
      </w:pPr>
      <w:r w:rsidRPr="00D65479">
        <w:rPr>
          <w:b/>
        </w:rPr>
        <w:t>Criteria Selection:</w:t>
      </w:r>
      <w:r>
        <w:t xml:space="preserve">  Applications will be reviewed by the Preservation Grant Program Review Committee and will be scored according to appropriateness, need and historic and neighborhood significance. </w:t>
      </w:r>
    </w:p>
    <w:p w:rsidR="005841F4" w:rsidRDefault="005841F4" w:rsidP="00DA12BD">
      <w:pPr>
        <w:pStyle w:val="Default"/>
        <w:jc w:val="both"/>
      </w:pPr>
    </w:p>
    <w:p w:rsidR="00796DA8" w:rsidRDefault="00796DA8" w:rsidP="00DA12BD">
      <w:pPr>
        <w:pStyle w:val="Default"/>
        <w:jc w:val="both"/>
      </w:pPr>
      <w:r w:rsidRPr="00D65479">
        <w:rPr>
          <w:b/>
        </w:rPr>
        <w:t>Geographic Area:</w:t>
      </w:r>
      <w:r>
        <w:t xml:space="preserve">  Districts 1, 2 and 3</w:t>
      </w:r>
    </w:p>
    <w:p w:rsidR="005841F4" w:rsidRDefault="005841F4" w:rsidP="00DA12BD">
      <w:pPr>
        <w:pStyle w:val="Default"/>
        <w:jc w:val="both"/>
      </w:pPr>
    </w:p>
    <w:p w:rsidR="00796DA8" w:rsidRDefault="00796DA8" w:rsidP="00DA12BD">
      <w:pPr>
        <w:pStyle w:val="Default"/>
        <w:jc w:val="both"/>
      </w:pPr>
      <w:r w:rsidRPr="008F0010">
        <w:rPr>
          <w:b/>
        </w:rPr>
        <w:t>Eligibility:</w:t>
      </w:r>
      <w:r w:rsidR="006F047A">
        <w:t xml:space="preserve"> 24 C.F.R. </w:t>
      </w:r>
      <w:r w:rsidR="008F0010">
        <w:t>§ 570.202(d)</w:t>
      </w:r>
    </w:p>
    <w:p w:rsidR="005841F4" w:rsidRDefault="005841F4" w:rsidP="00DA12BD">
      <w:pPr>
        <w:pStyle w:val="Default"/>
        <w:jc w:val="both"/>
      </w:pPr>
    </w:p>
    <w:p w:rsidR="00796DA8" w:rsidRDefault="00796DA8" w:rsidP="00DA12BD">
      <w:pPr>
        <w:pStyle w:val="Default"/>
        <w:jc w:val="both"/>
      </w:pPr>
      <w:r w:rsidRPr="00D65479">
        <w:rPr>
          <w:b/>
        </w:rPr>
        <w:t>National Objective:</w:t>
      </w:r>
      <w:r>
        <w:t xml:space="preserve"> Elimination of Slum and Blight</w:t>
      </w:r>
    </w:p>
    <w:p w:rsidR="005841F4" w:rsidRDefault="005841F4" w:rsidP="00DA12BD">
      <w:pPr>
        <w:pStyle w:val="Default"/>
        <w:jc w:val="both"/>
      </w:pPr>
    </w:p>
    <w:p w:rsidR="00796DA8" w:rsidRDefault="00796DA8" w:rsidP="00DA12BD">
      <w:pPr>
        <w:pStyle w:val="Default"/>
        <w:jc w:val="both"/>
      </w:pPr>
      <w:r w:rsidRPr="00D65479">
        <w:rPr>
          <w:b/>
        </w:rPr>
        <w:t>Outcome:</w:t>
      </w:r>
      <w:r w:rsidR="00D65479">
        <w:t xml:space="preserve"> Repair of 2 properties</w:t>
      </w:r>
    </w:p>
    <w:p w:rsidR="005841F4" w:rsidRDefault="005841F4" w:rsidP="00DA12BD">
      <w:pPr>
        <w:pStyle w:val="Default"/>
        <w:jc w:val="both"/>
      </w:pPr>
    </w:p>
    <w:p w:rsidR="00796DA8" w:rsidRDefault="00796DA8" w:rsidP="00DA12BD">
      <w:pPr>
        <w:pStyle w:val="Default"/>
        <w:jc w:val="both"/>
      </w:pPr>
      <w:r w:rsidRPr="00D65479">
        <w:rPr>
          <w:b/>
        </w:rPr>
        <w:t>State Date:</w:t>
      </w:r>
      <w:r>
        <w:t xml:space="preserve"> June </w:t>
      </w:r>
      <w:r w:rsidR="008F0010">
        <w:t>15</w:t>
      </w:r>
      <w:r w:rsidR="00D65479">
        <w:t xml:space="preserve">, 2015    </w:t>
      </w:r>
      <w:r w:rsidR="00D65479" w:rsidRPr="008F0010">
        <w:rPr>
          <w:b/>
        </w:rPr>
        <w:t>End Date:</w:t>
      </w:r>
      <w:r w:rsidR="00D65479">
        <w:t xml:space="preserve">  </w:t>
      </w:r>
      <w:r w:rsidR="00D34B3C">
        <w:t>December 10</w:t>
      </w:r>
      <w:r w:rsidR="008F0010">
        <w:t>,</w:t>
      </w:r>
      <w:r w:rsidR="00D65479">
        <w:t xml:space="preserve"> 2015</w:t>
      </w:r>
    </w:p>
    <w:p w:rsidR="005841F4" w:rsidRDefault="005841F4" w:rsidP="00DA12BD">
      <w:pPr>
        <w:pStyle w:val="Default"/>
        <w:jc w:val="both"/>
      </w:pPr>
    </w:p>
    <w:p w:rsidR="00D65479" w:rsidRDefault="00D65479" w:rsidP="00DA12BD">
      <w:pPr>
        <w:pStyle w:val="Default"/>
        <w:jc w:val="both"/>
      </w:pPr>
      <w:r w:rsidRPr="00D65479">
        <w:rPr>
          <w:b/>
        </w:rPr>
        <w:t>Schedule:</w:t>
      </w:r>
      <w:r>
        <w:t xml:space="preserve">  The City’s Office of Planning and Economic Development and Office of Disaster Recovery and Compliance </w:t>
      </w:r>
      <w:r w:rsidR="005841F4">
        <w:t xml:space="preserve">will release </w:t>
      </w:r>
      <w:r>
        <w:t>a N</w:t>
      </w:r>
      <w:r w:rsidR="005841F4">
        <w:t xml:space="preserve">otice of </w:t>
      </w:r>
      <w:r>
        <w:t>F</w:t>
      </w:r>
      <w:r w:rsidR="005841F4">
        <w:t xml:space="preserve">unding </w:t>
      </w:r>
      <w:r>
        <w:t>A</w:t>
      </w:r>
      <w:r w:rsidR="005841F4">
        <w:t>vailability (NOFA)</w:t>
      </w:r>
      <w:r>
        <w:t xml:space="preserve"> </w:t>
      </w:r>
      <w:r w:rsidR="005841F4">
        <w:t>in summer 2015.</w:t>
      </w:r>
      <w:r>
        <w:t xml:space="preserve"> The Springfield Historic Commission has already created an initial list </w:t>
      </w:r>
      <w:r w:rsidR="005841F4">
        <w:t xml:space="preserve">of properties </w:t>
      </w:r>
      <w:r>
        <w:t>that are still damaged by the tornado and ranked them by architectural priority. The City anticipates award</w:t>
      </w:r>
      <w:r w:rsidR="005841F4">
        <w:t>s</w:t>
      </w:r>
      <w:r>
        <w:t xml:space="preserve"> of funding between July-August 2015 and anticipates funds being spent no later than</w:t>
      </w:r>
      <w:r w:rsidR="008F0010">
        <w:t xml:space="preserve"> </w:t>
      </w:r>
      <w:r w:rsidR="005841F4">
        <w:t>December 1</w:t>
      </w:r>
      <w:r w:rsidR="008F0010">
        <w:t>0, 2015.</w:t>
      </w:r>
    </w:p>
    <w:p w:rsidR="005841F4" w:rsidRDefault="005841F4" w:rsidP="00DA12BD">
      <w:pPr>
        <w:pStyle w:val="Default"/>
        <w:jc w:val="both"/>
      </w:pPr>
    </w:p>
    <w:p w:rsidR="00D34B3C" w:rsidRDefault="00D65479" w:rsidP="00DA12BD">
      <w:pPr>
        <w:pStyle w:val="Default"/>
        <w:jc w:val="both"/>
      </w:pPr>
      <w:r w:rsidRPr="008F0010">
        <w:rPr>
          <w:b/>
        </w:rPr>
        <w:t>Expected Leverage:</w:t>
      </w:r>
      <w:r>
        <w:t xml:space="preserve"> </w:t>
      </w:r>
      <w:r w:rsidR="008F0010">
        <w:t>Historic Tax Credit equity,</w:t>
      </w:r>
      <w:r>
        <w:t xml:space="preserve"> </w:t>
      </w:r>
      <w:r w:rsidR="008F0010">
        <w:t>New Markets Tax Credit equity, MA Housing Development Incentive Program and permanent debt.</w:t>
      </w:r>
    </w:p>
    <w:p w:rsidR="00796DA8" w:rsidRDefault="00796DA8" w:rsidP="00DA12BD">
      <w:pPr>
        <w:pStyle w:val="Default"/>
        <w:ind w:left="720"/>
        <w:jc w:val="both"/>
      </w:pPr>
    </w:p>
    <w:p w:rsidR="00D04DEB" w:rsidRDefault="00D04DEB">
      <w:pPr>
        <w:spacing w:after="200" w:line="276" w:lineRule="auto"/>
        <w:rPr>
          <w:rFonts w:ascii="Times New Roman" w:hAnsi="Times New Roman" w:cs="Times New Roman"/>
          <w:b/>
          <w:color w:val="000000"/>
          <w:szCs w:val="24"/>
          <w:u w:val="single"/>
        </w:rPr>
      </w:pPr>
      <w:r>
        <w:rPr>
          <w:b/>
          <w:u w:val="single"/>
        </w:rPr>
        <w:br w:type="page"/>
      </w:r>
    </w:p>
    <w:p w:rsidR="00F65A91" w:rsidRPr="000B454A" w:rsidRDefault="00D04DEB" w:rsidP="00DA12BD">
      <w:pPr>
        <w:pStyle w:val="Default"/>
        <w:jc w:val="both"/>
        <w:rPr>
          <w:b/>
          <w:u w:val="single"/>
        </w:rPr>
      </w:pPr>
      <w:r>
        <w:rPr>
          <w:b/>
          <w:u w:val="single"/>
        </w:rPr>
        <w:lastRenderedPageBreak/>
        <w:t xml:space="preserve">Change #2: </w:t>
      </w:r>
      <w:r w:rsidR="000B454A" w:rsidRPr="000B454A">
        <w:rPr>
          <w:b/>
          <w:u w:val="single"/>
        </w:rPr>
        <w:t>Revised Completion Date for Existing Activities</w:t>
      </w:r>
    </w:p>
    <w:p w:rsidR="00F65A91" w:rsidRDefault="008F0010" w:rsidP="00D04DEB">
      <w:pPr>
        <w:pStyle w:val="Default"/>
        <w:jc w:val="both"/>
      </w:pPr>
      <w:r>
        <w:t xml:space="preserve">The amendment will </w:t>
      </w:r>
      <w:r w:rsidRPr="00D923D4">
        <w:t xml:space="preserve">also </w:t>
      </w:r>
      <w:r>
        <w:t>be extending the anticipated completion date of several existing programs in Partial Action Plan A from Octo</w:t>
      </w:r>
      <w:r w:rsidR="00DA12BD">
        <w:t>ber 31, 2015 to December 10</w:t>
      </w:r>
      <w:r>
        <w:t>, 2015. The existing activities in Partial Action Plan A that will be affected by this extension of this date are:</w:t>
      </w:r>
    </w:p>
    <w:p w:rsidR="008F0010" w:rsidRDefault="008F0010" w:rsidP="00D04DEB">
      <w:pPr>
        <w:pStyle w:val="Default"/>
        <w:jc w:val="both"/>
      </w:pPr>
    </w:p>
    <w:p w:rsidR="008F0010" w:rsidRDefault="008F0010" w:rsidP="00D04DEB">
      <w:pPr>
        <w:pStyle w:val="Default"/>
        <w:numPr>
          <w:ilvl w:val="0"/>
          <w:numId w:val="4"/>
        </w:numPr>
        <w:jc w:val="both"/>
      </w:pPr>
      <w:r>
        <w:t>Acquisition and Development of Homeownership</w:t>
      </w:r>
    </w:p>
    <w:p w:rsidR="008F0010" w:rsidRDefault="008F0010" w:rsidP="00D04DEB">
      <w:pPr>
        <w:pStyle w:val="Default"/>
        <w:numPr>
          <w:ilvl w:val="0"/>
          <w:numId w:val="4"/>
        </w:numPr>
        <w:jc w:val="both"/>
      </w:pPr>
      <w:r>
        <w:t>Removal of Blight</w:t>
      </w:r>
    </w:p>
    <w:p w:rsidR="008F0010" w:rsidRDefault="008F0010" w:rsidP="00D04DEB">
      <w:pPr>
        <w:pStyle w:val="Default"/>
        <w:numPr>
          <w:ilvl w:val="0"/>
          <w:numId w:val="4"/>
        </w:numPr>
        <w:jc w:val="both"/>
      </w:pPr>
      <w:r>
        <w:t>Housing Repair</w:t>
      </w:r>
    </w:p>
    <w:p w:rsidR="008F0010" w:rsidRDefault="008F0010" w:rsidP="00D04DEB">
      <w:pPr>
        <w:pStyle w:val="Default"/>
        <w:numPr>
          <w:ilvl w:val="0"/>
          <w:numId w:val="4"/>
        </w:numPr>
        <w:jc w:val="both"/>
      </w:pPr>
      <w:r>
        <w:t>Replacement of Multi-Family Housing</w:t>
      </w:r>
    </w:p>
    <w:p w:rsidR="008F0010" w:rsidRDefault="008F0010" w:rsidP="00D04DEB">
      <w:pPr>
        <w:pStyle w:val="Default"/>
        <w:numPr>
          <w:ilvl w:val="0"/>
          <w:numId w:val="4"/>
        </w:numPr>
        <w:jc w:val="both"/>
      </w:pPr>
      <w:r>
        <w:t>Workforce Training</w:t>
      </w:r>
    </w:p>
    <w:p w:rsidR="008F0010" w:rsidRDefault="008F0010" w:rsidP="00D04DEB">
      <w:pPr>
        <w:pStyle w:val="Default"/>
        <w:numPr>
          <w:ilvl w:val="0"/>
          <w:numId w:val="4"/>
        </w:numPr>
        <w:jc w:val="both"/>
      </w:pPr>
      <w:r>
        <w:t>Business Recovery Loan Program</w:t>
      </w:r>
    </w:p>
    <w:p w:rsidR="008F0010" w:rsidRDefault="008F0010" w:rsidP="00D04DEB">
      <w:pPr>
        <w:pStyle w:val="Default"/>
        <w:numPr>
          <w:ilvl w:val="0"/>
          <w:numId w:val="4"/>
        </w:numPr>
        <w:jc w:val="both"/>
      </w:pPr>
      <w:r>
        <w:t>Redevelopment</w:t>
      </w:r>
    </w:p>
    <w:p w:rsidR="008F0010" w:rsidRDefault="008F0010" w:rsidP="00D04DEB">
      <w:pPr>
        <w:pStyle w:val="Default"/>
        <w:numPr>
          <w:ilvl w:val="0"/>
          <w:numId w:val="4"/>
        </w:numPr>
        <w:jc w:val="both"/>
      </w:pPr>
      <w:r>
        <w:t>Roadways and Sidewalks</w:t>
      </w:r>
    </w:p>
    <w:p w:rsidR="00FF546A" w:rsidRDefault="00D34B3C" w:rsidP="00D04DEB">
      <w:pPr>
        <w:pStyle w:val="Default"/>
        <w:numPr>
          <w:ilvl w:val="0"/>
          <w:numId w:val="4"/>
        </w:numPr>
        <w:jc w:val="both"/>
      </w:pPr>
      <w:r>
        <w:t>Parks</w:t>
      </w:r>
    </w:p>
    <w:p w:rsidR="00D04DEB" w:rsidRDefault="00D04DEB" w:rsidP="00D04DEB">
      <w:pPr>
        <w:pStyle w:val="Default"/>
        <w:jc w:val="both"/>
      </w:pPr>
    </w:p>
    <w:p w:rsidR="00D04DEB" w:rsidRPr="00D04DEB" w:rsidRDefault="00D04DEB" w:rsidP="00D04DEB">
      <w:pPr>
        <w:pStyle w:val="Default"/>
        <w:jc w:val="both"/>
        <w:rPr>
          <w:b/>
          <w:u w:val="single"/>
        </w:rPr>
      </w:pPr>
      <w:r>
        <w:rPr>
          <w:b/>
          <w:u w:val="single"/>
        </w:rPr>
        <w:t>Requirements Related to Both Change #1 and Change #2</w:t>
      </w:r>
    </w:p>
    <w:p w:rsidR="00042748" w:rsidRPr="00D34B3C" w:rsidRDefault="00042748" w:rsidP="00D04DEB">
      <w:pPr>
        <w:pStyle w:val="Default"/>
        <w:ind w:left="1080"/>
        <w:jc w:val="both"/>
      </w:pPr>
    </w:p>
    <w:p w:rsidR="00D2641F" w:rsidRDefault="00D2641F" w:rsidP="00D04DEB">
      <w:pPr>
        <w:pStyle w:val="Default"/>
        <w:jc w:val="both"/>
      </w:pPr>
      <w:r w:rsidRPr="00D04DEB">
        <w:rPr>
          <w:b/>
        </w:rPr>
        <w:t>LMI National Objective</w:t>
      </w:r>
      <w:r w:rsidR="00D04DEB">
        <w:rPr>
          <w:b/>
        </w:rPr>
        <w:t xml:space="preserve">: </w:t>
      </w:r>
      <w:r>
        <w:t xml:space="preserve">The changes is this amendment to Partial Action Plan A will still ensure that at least 50% of grant funds will still be dedicated to activities that meet with Low/Mod Income national objective. </w:t>
      </w:r>
    </w:p>
    <w:p w:rsidR="00D2641F" w:rsidRDefault="00D2641F" w:rsidP="00D04DEB">
      <w:pPr>
        <w:pStyle w:val="Default"/>
        <w:jc w:val="both"/>
      </w:pPr>
    </w:p>
    <w:p w:rsidR="00D2641F" w:rsidRDefault="00D2641F" w:rsidP="00D04DEB">
      <w:pPr>
        <w:pStyle w:val="Default"/>
        <w:jc w:val="both"/>
      </w:pPr>
      <w:r w:rsidRPr="00D04DEB">
        <w:rPr>
          <w:b/>
        </w:rPr>
        <w:t>Administrative, Planning and Management Costs</w:t>
      </w:r>
      <w:r w:rsidR="00D04DEB" w:rsidRPr="00D04DEB">
        <w:rPr>
          <w:b/>
        </w:rPr>
        <w:t xml:space="preserve">: </w:t>
      </w:r>
      <w:r>
        <w:t xml:space="preserve">The changes in this amendment to Partial Action Plan A will not increase administrative costs by more than five percent (5%) of the total grant amount.  Overall planning, management and administrative costs will remain less than twenty percent (20%) of the total grant amount. </w:t>
      </w:r>
    </w:p>
    <w:p w:rsidR="00D2641F" w:rsidRPr="00D2641F" w:rsidRDefault="00D2641F" w:rsidP="00D04DEB">
      <w:pPr>
        <w:pStyle w:val="Default"/>
        <w:jc w:val="both"/>
      </w:pPr>
    </w:p>
    <w:p w:rsidR="00A576B4" w:rsidRDefault="00A576B4" w:rsidP="00D04DEB">
      <w:pPr>
        <w:pStyle w:val="Default"/>
        <w:jc w:val="both"/>
      </w:pPr>
      <w:r w:rsidRPr="00D04DEB">
        <w:rPr>
          <w:b/>
        </w:rPr>
        <w:t>Citizen Participation</w:t>
      </w:r>
      <w:r w:rsidR="00D04DEB">
        <w:rPr>
          <w:b/>
        </w:rPr>
        <w:t xml:space="preserve">: </w:t>
      </w:r>
      <w:r w:rsidR="000B454A">
        <w:t>The amendment</w:t>
      </w:r>
      <w:r w:rsidR="005841F4">
        <w:t xml:space="preserve"> was</w:t>
      </w:r>
      <w:r w:rsidR="000B454A">
        <w:t xml:space="preserve"> published in accordance with the Partial Action Plan A and </w:t>
      </w:r>
      <w:r w:rsidR="005841F4">
        <w:t xml:space="preserve">the </w:t>
      </w:r>
      <w:r w:rsidR="000B454A">
        <w:t xml:space="preserve">Citizen Participation Plan and </w:t>
      </w:r>
      <w:r w:rsidR="005841F4">
        <w:t>met the following</w:t>
      </w:r>
      <w:r w:rsidR="000B454A">
        <w:t xml:space="preserve"> requirements:</w:t>
      </w:r>
    </w:p>
    <w:p w:rsidR="000B454A" w:rsidRDefault="000B454A" w:rsidP="00D04DEB">
      <w:pPr>
        <w:pStyle w:val="Default"/>
        <w:numPr>
          <w:ilvl w:val="0"/>
          <w:numId w:val="5"/>
        </w:numPr>
        <w:jc w:val="both"/>
      </w:pPr>
      <w:r>
        <w:t>Publication in Spanish and English on the City’s website.</w:t>
      </w:r>
    </w:p>
    <w:p w:rsidR="00A17017" w:rsidRDefault="00A17017" w:rsidP="00D04DEB">
      <w:pPr>
        <w:pStyle w:val="Default"/>
        <w:numPr>
          <w:ilvl w:val="0"/>
          <w:numId w:val="5"/>
        </w:numPr>
        <w:jc w:val="both"/>
      </w:pPr>
      <w:r>
        <w:t>Publication in Spanish and English in the Republican Legal Notices on June 5, 2015.</w:t>
      </w:r>
    </w:p>
    <w:p w:rsidR="000B454A" w:rsidRDefault="000B454A" w:rsidP="00D04DEB">
      <w:pPr>
        <w:pStyle w:val="Default"/>
        <w:numPr>
          <w:ilvl w:val="0"/>
          <w:numId w:val="5"/>
        </w:numPr>
        <w:jc w:val="both"/>
      </w:pPr>
      <w:r>
        <w:t xml:space="preserve">A comment period </w:t>
      </w:r>
      <w:r w:rsidR="008613D5">
        <w:t xml:space="preserve">for the required </w:t>
      </w:r>
      <w:r>
        <w:t xml:space="preserve">seven days from June </w:t>
      </w:r>
      <w:r w:rsidR="00ED41C3">
        <w:t>6</w:t>
      </w:r>
      <w:r>
        <w:t>, 2015 – June 1</w:t>
      </w:r>
      <w:r w:rsidR="00ED41C3">
        <w:t>3</w:t>
      </w:r>
      <w:r>
        <w:t>, 2015.</w:t>
      </w:r>
    </w:p>
    <w:p w:rsidR="000B454A" w:rsidRDefault="000B454A" w:rsidP="00D04DEB">
      <w:pPr>
        <w:pStyle w:val="Default"/>
        <w:numPr>
          <w:ilvl w:val="0"/>
          <w:numId w:val="5"/>
        </w:numPr>
        <w:jc w:val="both"/>
      </w:pPr>
      <w:r>
        <w:t>Submission of comments were allowed as follows:</w:t>
      </w:r>
    </w:p>
    <w:p w:rsidR="000B454A" w:rsidRDefault="000B454A" w:rsidP="00D04DEB">
      <w:pPr>
        <w:pStyle w:val="Default"/>
        <w:numPr>
          <w:ilvl w:val="1"/>
          <w:numId w:val="5"/>
        </w:numPr>
        <w:jc w:val="both"/>
      </w:pPr>
      <w:r>
        <w:t xml:space="preserve">Electronically on the City’s CDBG-DR website at </w:t>
      </w:r>
      <w:hyperlink r:id="rId9" w:history="1">
        <w:r w:rsidRPr="005E3B8D">
          <w:rPr>
            <w:rStyle w:val="Hyperlink"/>
          </w:rPr>
          <w:t>www.springfield-ma.gov/planning/cdbg-dr</w:t>
        </w:r>
      </w:hyperlink>
    </w:p>
    <w:p w:rsidR="000B454A" w:rsidRDefault="000B454A" w:rsidP="00D04DEB">
      <w:pPr>
        <w:pStyle w:val="Default"/>
        <w:numPr>
          <w:ilvl w:val="1"/>
          <w:numId w:val="5"/>
        </w:numPr>
        <w:jc w:val="both"/>
      </w:pPr>
      <w:r>
        <w:t xml:space="preserve">Written comments mailed to the Office of </w:t>
      </w:r>
      <w:r w:rsidR="00ED41C3">
        <w:t>Disaster Recovery &amp; Compliance</w:t>
      </w:r>
      <w:r>
        <w:t xml:space="preserve">, </w:t>
      </w:r>
      <w:r w:rsidR="00ED41C3">
        <w:t>36 Court Street</w:t>
      </w:r>
      <w:r>
        <w:t>, Springfield, MA 01103</w:t>
      </w:r>
    </w:p>
    <w:p w:rsidR="00FA64FC" w:rsidRDefault="00ED41C3" w:rsidP="00FA64FC">
      <w:pPr>
        <w:pStyle w:val="Default"/>
        <w:numPr>
          <w:ilvl w:val="1"/>
          <w:numId w:val="5"/>
        </w:numPr>
        <w:jc w:val="both"/>
      </w:pPr>
      <w:r>
        <w:t xml:space="preserve">Via email </w:t>
      </w:r>
      <w:r w:rsidR="00FA64FC">
        <w:t>to tquagliato@springfieldcityhall.com</w:t>
      </w:r>
    </w:p>
    <w:p w:rsidR="000B454A" w:rsidRDefault="000B454A" w:rsidP="00D04DEB">
      <w:pPr>
        <w:pStyle w:val="Default"/>
        <w:numPr>
          <w:ilvl w:val="1"/>
          <w:numId w:val="5"/>
        </w:numPr>
        <w:jc w:val="both"/>
      </w:pPr>
      <w:r>
        <w:t>By telephone contacting 311, the City of Springfield’s main source of government information and non-emergency services</w:t>
      </w:r>
      <w:r w:rsidR="00ED41C3">
        <w:t xml:space="preserve"> or the Office of Disaster Recovery &amp; Compliance at (413) 750-2114</w:t>
      </w:r>
      <w:r>
        <w:t xml:space="preserve">. </w:t>
      </w:r>
    </w:p>
    <w:p w:rsidR="00A17017" w:rsidRDefault="00A17017" w:rsidP="00A17017">
      <w:pPr>
        <w:pStyle w:val="Default"/>
        <w:jc w:val="both"/>
      </w:pPr>
      <w:bookmarkStart w:id="0" w:name="_GoBack"/>
      <w:bookmarkEnd w:id="0"/>
    </w:p>
    <w:p w:rsidR="00A17017" w:rsidRDefault="00A17017" w:rsidP="00A17017">
      <w:pPr>
        <w:pStyle w:val="Default"/>
        <w:jc w:val="both"/>
      </w:pPr>
      <w:r>
        <w:t xml:space="preserve">The City has not received any comments regarding this amendment. The final version of the amendment has been published in English and Spanish on the City’s website. </w:t>
      </w:r>
    </w:p>
    <w:p w:rsidR="00042748" w:rsidRDefault="00042748" w:rsidP="00D04DEB">
      <w:pPr>
        <w:pStyle w:val="Default"/>
        <w:jc w:val="both"/>
        <w:rPr>
          <w:b/>
          <w:u w:val="single"/>
        </w:rPr>
      </w:pPr>
    </w:p>
    <w:p w:rsidR="000D0285" w:rsidRDefault="000D0285" w:rsidP="00042748">
      <w:pPr>
        <w:pStyle w:val="Default"/>
        <w:rPr>
          <w:b/>
          <w:u w:val="single"/>
        </w:rPr>
      </w:pPr>
    </w:p>
    <w:p w:rsidR="00A17017" w:rsidRDefault="00A17017" w:rsidP="00042748">
      <w:pPr>
        <w:pStyle w:val="Default"/>
        <w:rPr>
          <w:b/>
          <w:u w:val="single"/>
        </w:rPr>
      </w:pPr>
    </w:p>
    <w:p w:rsidR="00042748" w:rsidRDefault="00D04DEB" w:rsidP="00042748">
      <w:pPr>
        <w:pStyle w:val="Default"/>
        <w:rPr>
          <w:b/>
          <w:u w:val="single"/>
        </w:rPr>
      </w:pPr>
      <w:r>
        <w:rPr>
          <w:b/>
          <w:u w:val="single"/>
        </w:rPr>
        <w:lastRenderedPageBreak/>
        <w:t xml:space="preserve">Budget Summary - </w:t>
      </w:r>
      <w:r w:rsidR="00042748" w:rsidRPr="000B454A">
        <w:rPr>
          <w:b/>
          <w:u w:val="single"/>
        </w:rPr>
        <w:t xml:space="preserve">CDBG-DR Proposed </w:t>
      </w:r>
      <w:r w:rsidR="00042748">
        <w:rPr>
          <w:b/>
          <w:u w:val="single"/>
        </w:rPr>
        <w:t>Changes to Partial Action Plan</w:t>
      </w:r>
      <w:r>
        <w:rPr>
          <w:b/>
          <w:u w:val="single"/>
        </w:rPr>
        <w:t xml:space="preserve"> A</w:t>
      </w:r>
    </w:p>
    <w:p w:rsidR="00042748" w:rsidRPr="00042748" w:rsidRDefault="00042748" w:rsidP="00042748">
      <w:pPr>
        <w:pStyle w:val="Default"/>
        <w:rPr>
          <w:b/>
          <w:u w:val="single"/>
        </w:rPr>
      </w:pPr>
      <w:r>
        <w:t>Changes to the CDBG-DR budget are highlighted in red</w:t>
      </w:r>
    </w:p>
    <w:p w:rsidR="00042748" w:rsidRPr="005841F4" w:rsidRDefault="00042748" w:rsidP="00042748">
      <w:pPr>
        <w:pStyle w:val="Default"/>
        <w:ind w:left="720"/>
        <w:rPr>
          <w:sz w:val="16"/>
          <w:szCs w:val="16"/>
        </w:rPr>
      </w:pPr>
    </w:p>
    <w:tbl>
      <w:tblPr>
        <w:tblStyle w:val="LightList-Accent3"/>
        <w:tblpPr w:leftFromText="180" w:rightFromText="180" w:vertAnchor="page" w:horzAnchor="margin" w:tblpY="2266"/>
        <w:tblW w:w="9889" w:type="dxa"/>
        <w:tblLayout w:type="fixed"/>
        <w:tblLook w:val="04A0" w:firstRow="1" w:lastRow="0" w:firstColumn="1" w:lastColumn="0" w:noHBand="0" w:noVBand="1"/>
      </w:tblPr>
      <w:tblGrid>
        <w:gridCol w:w="340"/>
        <w:gridCol w:w="1946"/>
        <w:gridCol w:w="1378"/>
        <w:gridCol w:w="1274"/>
        <w:gridCol w:w="1452"/>
        <w:gridCol w:w="1069"/>
        <w:gridCol w:w="32"/>
        <w:gridCol w:w="1267"/>
        <w:gridCol w:w="32"/>
        <w:gridCol w:w="1099"/>
      </w:tblGrid>
      <w:tr w:rsidR="00042748" w:rsidTr="00124A5A">
        <w:trPr>
          <w:cnfStyle w:val="100000000000" w:firstRow="1" w:lastRow="0" w:firstColumn="0" w:lastColumn="0" w:oddVBand="0" w:evenVBand="0" w:oddHBand="0" w:evenHBand="0" w:firstRowFirstColumn="0" w:firstRowLastColumn="0" w:lastRowFirstColumn="0" w:lastRowLastColumn="0"/>
          <w:cantSplit/>
          <w:trHeight w:val="1130"/>
        </w:trPr>
        <w:tc>
          <w:tcPr>
            <w:cnfStyle w:val="001000000000" w:firstRow="0" w:lastRow="0" w:firstColumn="1" w:lastColumn="0" w:oddVBand="0" w:evenVBand="0" w:oddHBand="0" w:evenHBand="0" w:firstRowFirstColumn="0" w:firstRowLastColumn="0" w:lastRowFirstColumn="0" w:lastRowLastColumn="0"/>
            <w:tcW w:w="340" w:type="dxa"/>
            <w:textDirection w:val="btLr"/>
          </w:tcPr>
          <w:p w:rsidR="00042748" w:rsidRPr="001743B6" w:rsidRDefault="00042748" w:rsidP="00124A5A">
            <w:pPr>
              <w:spacing w:after="0" w:line="276" w:lineRule="auto"/>
              <w:ind w:left="113" w:right="113"/>
              <w:jc w:val="both"/>
              <w:rPr>
                <w:rFonts w:ascii="Calibri" w:hAnsi="Calibri"/>
                <w:sz w:val="20"/>
                <w:szCs w:val="20"/>
              </w:rPr>
            </w:pPr>
            <w:r w:rsidRPr="001743B6">
              <w:rPr>
                <w:rFonts w:ascii="Calibri" w:hAnsi="Calibri"/>
                <w:sz w:val="20"/>
                <w:szCs w:val="20"/>
              </w:rPr>
              <w:t>Category</w:t>
            </w:r>
          </w:p>
        </w:tc>
        <w:tc>
          <w:tcPr>
            <w:tcW w:w="1946" w:type="dxa"/>
          </w:tcPr>
          <w:p w:rsidR="00042748" w:rsidRPr="001743B6" w:rsidRDefault="00042748" w:rsidP="00124A5A">
            <w:pPr>
              <w:spacing w:after="0" w:line="276" w:lineRule="auto"/>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Activity</w:t>
            </w:r>
          </w:p>
        </w:tc>
        <w:tc>
          <w:tcPr>
            <w:tcW w:w="1378" w:type="dxa"/>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sz w:val="20"/>
                <w:szCs w:val="20"/>
              </w:rPr>
            </w:pPr>
            <w:r w:rsidRPr="001743B6">
              <w:rPr>
                <w:rFonts w:ascii="Calibri" w:hAnsi="Calibri"/>
                <w:sz w:val="20"/>
                <w:szCs w:val="20"/>
              </w:rPr>
              <w:t>Partial Action Plan A</w:t>
            </w:r>
          </w:p>
        </w:tc>
        <w:tc>
          <w:tcPr>
            <w:tcW w:w="1274" w:type="dxa"/>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Future Action Plan(s)</w:t>
            </w:r>
          </w:p>
        </w:tc>
        <w:tc>
          <w:tcPr>
            <w:tcW w:w="1452" w:type="dxa"/>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Total CDBG DR funds</w:t>
            </w:r>
          </w:p>
        </w:tc>
        <w:tc>
          <w:tcPr>
            <w:tcW w:w="1101" w:type="dxa"/>
            <w:gridSpan w:val="2"/>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sz w:val="20"/>
                <w:szCs w:val="20"/>
              </w:rPr>
            </w:pPr>
            <w:r w:rsidRPr="001743B6">
              <w:rPr>
                <w:rFonts w:ascii="Calibri" w:hAnsi="Calibri"/>
                <w:sz w:val="20"/>
                <w:szCs w:val="20"/>
              </w:rPr>
              <w:t xml:space="preserve">Partial Action Plan A </w:t>
            </w:r>
            <w:r>
              <w:rPr>
                <w:rFonts w:ascii="Calibri" w:hAnsi="Calibri"/>
                <w:sz w:val="20"/>
                <w:szCs w:val="20"/>
              </w:rPr>
              <w:t>Perform-</w:t>
            </w:r>
            <w:proofErr w:type="spellStart"/>
            <w:r>
              <w:rPr>
                <w:rFonts w:ascii="Calibri" w:hAnsi="Calibri"/>
                <w:sz w:val="20"/>
                <w:szCs w:val="20"/>
              </w:rPr>
              <w:t>ance</w:t>
            </w:r>
            <w:proofErr w:type="spellEnd"/>
            <w:r>
              <w:rPr>
                <w:rFonts w:ascii="Calibri" w:hAnsi="Calibri"/>
                <w:sz w:val="20"/>
                <w:szCs w:val="20"/>
              </w:rPr>
              <w:t xml:space="preserve"> </w:t>
            </w:r>
            <w:r w:rsidRPr="001743B6">
              <w:rPr>
                <w:rFonts w:ascii="Calibri" w:hAnsi="Calibri"/>
                <w:sz w:val="20"/>
                <w:szCs w:val="20"/>
              </w:rPr>
              <w:t>Number</w:t>
            </w:r>
          </w:p>
        </w:tc>
        <w:tc>
          <w:tcPr>
            <w:tcW w:w="1299" w:type="dxa"/>
            <w:gridSpan w:val="2"/>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sz w:val="20"/>
                <w:szCs w:val="20"/>
              </w:rPr>
            </w:pPr>
            <w:r w:rsidRPr="001743B6">
              <w:rPr>
                <w:rFonts w:ascii="Calibri" w:hAnsi="Calibri"/>
                <w:sz w:val="20"/>
                <w:szCs w:val="20"/>
              </w:rPr>
              <w:t>Perform</w:t>
            </w:r>
            <w:r>
              <w:rPr>
                <w:rFonts w:ascii="Calibri" w:hAnsi="Calibri"/>
                <w:sz w:val="20"/>
                <w:szCs w:val="20"/>
              </w:rPr>
              <w:t>-</w:t>
            </w:r>
            <w:proofErr w:type="spellStart"/>
            <w:r w:rsidRPr="001743B6">
              <w:rPr>
                <w:rFonts w:ascii="Calibri" w:hAnsi="Calibri"/>
                <w:sz w:val="20"/>
                <w:szCs w:val="20"/>
              </w:rPr>
              <w:t>ance</w:t>
            </w:r>
            <w:proofErr w:type="spellEnd"/>
            <w:r w:rsidRPr="001743B6">
              <w:rPr>
                <w:rFonts w:ascii="Calibri" w:hAnsi="Calibri"/>
                <w:sz w:val="20"/>
                <w:szCs w:val="20"/>
              </w:rPr>
              <w:t xml:space="preserve"> Metric</w:t>
            </w:r>
          </w:p>
        </w:tc>
        <w:tc>
          <w:tcPr>
            <w:tcW w:w="1099" w:type="dxa"/>
          </w:tcPr>
          <w:p w:rsidR="00042748" w:rsidRPr="001743B6" w:rsidRDefault="00042748" w:rsidP="00124A5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Districts</w:t>
            </w: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40" w:type="dxa"/>
            <w:vMerge w:val="restart"/>
            <w:textDirection w:val="btLr"/>
          </w:tcPr>
          <w:p w:rsidR="00042748" w:rsidRPr="001743B6" w:rsidRDefault="00042748" w:rsidP="00124A5A">
            <w:pPr>
              <w:spacing w:after="0" w:line="276" w:lineRule="auto"/>
              <w:ind w:left="113" w:right="113"/>
              <w:jc w:val="center"/>
              <w:rPr>
                <w:rFonts w:ascii="Calibri" w:hAnsi="Calibri"/>
                <w:b w:val="0"/>
                <w:sz w:val="18"/>
                <w:szCs w:val="18"/>
              </w:rPr>
            </w:pPr>
            <w:r w:rsidRPr="001743B6">
              <w:rPr>
                <w:rFonts w:ascii="Calibri" w:hAnsi="Calibri"/>
                <w:sz w:val="18"/>
                <w:szCs w:val="18"/>
              </w:rPr>
              <w:t>Housing</w:t>
            </w: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 xml:space="preserve"> </w:t>
            </w:r>
            <w:r w:rsidRPr="001743B6">
              <w:rPr>
                <w:rFonts w:ascii="Calibri" w:hAnsi="Calibri"/>
                <w:sz w:val="20"/>
                <w:szCs w:val="20"/>
              </w:rPr>
              <w:t>Acquisition and Development for Homeownership</w:t>
            </w:r>
          </w:p>
        </w:tc>
        <w:tc>
          <w:tcPr>
            <w:tcW w:w="1378" w:type="dxa"/>
          </w:tcPr>
          <w:p w:rsidR="00042748" w:rsidRPr="005841F4"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r w:rsidRPr="005841F4">
              <w:rPr>
                <w:rStyle w:val="Strong"/>
                <w:rFonts w:ascii="Calibri" w:hAnsi="Calibri"/>
                <w:b w:val="0"/>
                <w:color w:val="auto"/>
                <w:sz w:val="20"/>
                <w:szCs w:val="20"/>
              </w:rPr>
              <w:t>$1,450,000</w:t>
            </w: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7</w:t>
            </w: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Units (Homes)</w:t>
            </w:r>
          </w:p>
        </w:tc>
        <w:tc>
          <w:tcPr>
            <w:tcW w:w="1099" w:type="dxa"/>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1, 2</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Removal of Blight</w:t>
            </w:r>
          </w:p>
        </w:tc>
        <w:tc>
          <w:tcPr>
            <w:tcW w:w="1378" w:type="dxa"/>
          </w:tcPr>
          <w:p w:rsidR="00042748" w:rsidRPr="005841F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5841F4">
              <w:rPr>
                <w:rStyle w:val="Strong"/>
                <w:rFonts w:ascii="Calibri" w:hAnsi="Calibri"/>
                <w:b w:val="0"/>
                <w:color w:val="auto"/>
                <w:sz w:val="20"/>
                <w:szCs w:val="20"/>
                <w:lang w:bidi="hi-IN"/>
              </w:rPr>
              <w:t>$600,000</w:t>
            </w:r>
          </w:p>
        </w:tc>
        <w:tc>
          <w:tcPr>
            <w:tcW w:w="1274"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12</w:t>
            </w:r>
          </w:p>
        </w:tc>
        <w:tc>
          <w:tcPr>
            <w:tcW w:w="1299" w:type="dxa"/>
            <w:gridSpan w:val="2"/>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Units (Houses)</w:t>
            </w:r>
          </w:p>
        </w:tc>
        <w:tc>
          <w:tcPr>
            <w:tcW w:w="1099" w:type="dxa"/>
          </w:tcPr>
          <w:p w:rsidR="00042748" w:rsidRPr="00184F0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1, 2, 3</w:t>
            </w: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Housing Repair</w:t>
            </w:r>
          </w:p>
        </w:tc>
        <w:tc>
          <w:tcPr>
            <w:tcW w:w="1378" w:type="dxa"/>
          </w:tcPr>
          <w:p w:rsidR="00042748" w:rsidRPr="005841F4"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r w:rsidRPr="005841F4">
              <w:rPr>
                <w:rStyle w:val="Strong"/>
                <w:rFonts w:ascii="Calibri" w:hAnsi="Calibri"/>
                <w:b w:val="0"/>
                <w:color w:val="auto"/>
                <w:sz w:val="20"/>
                <w:szCs w:val="20"/>
              </w:rPr>
              <w:t>$300,000</w:t>
            </w: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10</w:t>
            </w: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Units (Homes)</w:t>
            </w:r>
          </w:p>
        </w:tc>
        <w:tc>
          <w:tcPr>
            <w:tcW w:w="1099" w:type="dxa"/>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1, 2, 3</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Borders>
              <w:bottom w:val="single" w:sz="8" w:space="0" w:color="9BBB59" w:themeColor="accent3"/>
            </w:tcBorders>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Replacement of Multi-Family Housing</w:t>
            </w:r>
          </w:p>
        </w:tc>
        <w:tc>
          <w:tcPr>
            <w:tcW w:w="1378" w:type="dxa"/>
            <w:tcBorders>
              <w:bottom w:val="single" w:sz="8" w:space="0" w:color="9BBB59" w:themeColor="accent3"/>
            </w:tcBorders>
          </w:tcPr>
          <w:p w:rsidR="00042748" w:rsidRPr="005841F4" w:rsidRDefault="00042748" w:rsidP="00124A5A">
            <w:pPr>
              <w:spacing w:after="0"/>
              <w:jc w:val="right"/>
              <w:cnfStyle w:val="000000000000" w:firstRow="0" w:lastRow="0" w:firstColumn="0" w:lastColumn="0" w:oddVBand="0" w:evenVBand="0" w:oddHBand="0" w:evenHBand="0" w:firstRowFirstColumn="0" w:firstRowLastColumn="0" w:lastRowFirstColumn="0" w:lastRowLastColumn="0"/>
              <w:rPr>
                <w:rStyle w:val="Strong"/>
                <w:rFonts w:ascii="Calibri" w:hAnsi="Calibri"/>
                <w:b w:val="0"/>
                <w:color w:val="auto"/>
                <w:sz w:val="20"/>
                <w:szCs w:val="20"/>
              </w:rPr>
            </w:pPr>
            <w:r w:rsidRPr="005841F4">
              <w:rPr>
                <w:rStyle w:val="Strong"/>
                <w:rFonts w:ascii="Calibri" w:hAnsi="Calibri"/>
                <w:b w:val="0"/>
                <w:color w:val="auto"/>
                <w:sz w:val="20"/>
                <w:szCs w:val="20"/>
                <w:lang w:bidi="hi-IN"/>
              </w:rPr>
              <w:t>$500,000</w:t>
            </w:r>
          </w:p>
          <w:p w:rsidR="00042748" w:rsidRPr="005841F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274" w:type="dxa"/>
            <w:tcBorders>
              <w:bottom w:val="single" w:sz="8" w:space="0" w:color="9BBB59" w:themeColor="accent3"/>
            </w:tcBorders>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452" w:type="dxa"/>
            <w:tcBorders>
              <w:bottom w:val="single" w:sz="8" w:space="0" w:color="9BBB59" w:themeColor="accent3"/>
            </w:tcBorders>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01" w:type="dxa"/>
            <w:gridSpan w:val="2"/>
            <w:tcBorders>
              <w:bottom w:val="single" w:sz="8" w:space="0" w:color="9BBB59" w:themeColor="accent3"/>
            </w:tcBorders>
          </w:tcPr>
          <w:p w:rsidR="00042748" w:rsidRPr="001743B6" w:rsidRDefault="00042748" w:rsidP="00124A5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13</w:t>
            </w:r>
          </w:p>
        </w:tc>
        <w:tc>
          <w:tcPr>
            <w:tcW w:w="1299" w:type="dxa"/>
            <w:gridSpan w:val="2"/>
            <w:tcBorders>
              <w:bottom w:val="single" w:sz="8" w:space="0" w:color="9BBB59" w:themeColor="accent3"/>
            </w:tcBorders>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Units (Housing Units)</w:t>
            </w:r>
          </w:p>
        </w:tc>
        <w:tc>
          <w:tcPr>
            <w:tcW w:w="1099" w:type="dxa"/>
            <w:tcBorders>
              <w:bottom w:val="single" w:sz="8" w:space="0" w:color="9BBB59" w:themeColor="accent3"/>
            </w:tcBorders>
          </w:tcPr>
          <w:p w:rsidR="00042748" w:rsidRPr="00184F0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1, 2</w:t>
            </w: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041669"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 xml:space="preserve">Historic Preservation </w:t>
            </w:r>
          </w:p>
        </w:tc>
        <w:tc>
          <w:tcPr>
            <w:tcW w:w="1378" w:type="dxa"/>
          </w:tcPr>
          <w:p w:rsidR="00042748" w:rsidRPr="00041669" w:rsidRDefault="00042748" w:rsidP="00124A5A">
            <w:pPr>
              <w:spacing w:after="0"/>
              <w:jc w:val="right"/>
              <w:cnfStyle w:val="000000100000" w:firstRow="0" w:lastRow="0" w:firstColumn="0" w:lastColumn="0" w:oddVBand="0" w:evenVBand="0" w:oddHBand="1" w:evenHBand="0" w:firstRowFirstColumn="0" w:firstRowLastColumn="0" w:lastRowFirstColumn="0" w:lastRowLastColumn="0"/>
              <w:rPr>
                <w:rStyle w:val="Strong"/>
                <w:rFonts w:ascii="Calibri" w:hAnsi="Calibri"/>
                <w:color w:val="FF0000"/>
                <w:sz w:val="20"/>
                <w:szCs w:val="20"/>
                <w:lang w:bidi="hi-IN"/>
              </w:rPr>
            </w:pPr>
            <w:r w:rsidRPr="00041669">
              <w:rPr>
                <w:rStyle w:val="Strong"/>
                <w:rFonts w:ascii="Calibri" w:hAnsi="Calibri"/>
                <w:color w:val="FF0000"/>
                <w:sz w:val="20"/>
                <w:szCs w:val="20"/>
                <w:lang w:bidi="hi-IN"/>
              </w:rPr>
              <w:t>$200,000</w:t>
            </w:r>
          </w:p>
        </w:tc>
        <w:tc>
          <w:tcPr>
            <w:tcW w:w="1274" w:type="dxa"/>
          </w:tcPr>
          <w:p w:rsidR="00042748" w:rsidRPr="00041669"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p>
        </w:tc>
        <w:tc>
          <w:tcPr>
            <w:tcW w:w="1452" w:type="dxa"/>
          </w:tcPr>
          <w:p w:rsidR="00042748" w:rsidRPr="00041669"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p>
        </w:tc>
        <w:tc>
          <w:tcPr>
            <w:tcW w:w="1101" w:type="dxa"/>
            <w:gridSpan w:val="2"/>
          </w:tcPr>
          <w:p w:rsidR="00042748" w:rsidRPr="00041669"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2</w:t>
            </w:r>
          </w:p>
        </w:tc>
        <w:tc>
          <w:tcPr>
            <w:tcW w:w="1299" w:type="dxa"/>
            <w:gridSpan w:val="2"/>
          </w:tcPr>
          <w:p w:rsidR="00042748" w:rsidRPr="00041669"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Units (Homes)</w:t>
            </w:r>
          </w:p>
        </w:tc>
        <w:tc>
          <w:tcPr>
            <w:tcW w:w="1099" w:type="dxa"/>
          </w:tcPr>
          <w:p w:rsidR="00042748" w:rsidRPr="00041669"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1,2,3</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shd w:val="clear" w:color="auto" w:fill="D6E3BC" w:themeFill="accent3" w:themeFillTint="66"/>
          </w:tcPr>
          <w:p w:rsidR="00042748" w:rsidRPr="001743B6" w:rsidRDefault="00042748" w:rsidP="00124A5A">
            <w:pPr>
              <w:spacing w:after="0" w:line="276" w:lineRule="auto"/>
              <w:rPr>
                <w:rFonts w:ascii="Calibri" w:hAnsi="Calibri"/>
                <w:b w:val="0"/>
                <w:sz w:val="18"/>
                <w:szCs w:val="18"/>
              </w:rPr>
            </w:pPr>
          </w:p>
        </w:tc>
        <w:tc>
          <w:tcPr>
            <w:tcW w:w="1946" w:type="dxa"/>
            <w:shd w:val="clear" w:color="auto" w:fill="D6E3BC" w:themeFill="accent3" w:themeFillTint="66"/>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HOUSING TOTAL</w:t>
            </w:r>
          </w:p>
        </w:tc>
        <w:tc>
          <w:tcPr>
            <w:tcW w:w="1378" w:type="dxa"/>
            <w:shd w:val="clear" w:color="auto" w:fill="D6E3BC" w:themeFill="accent3" w:themeFillTint="66"/>
          </w:tcPr>
          <w:p w:rsidR="00042748" w:rsidRPr="001743B6" w:rsidDel="000F0A8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D923D4">
              <w:rPr>
                <w:rFonts w:ascii="Calibri" w:hAnsi="Calibri"/>
                <w:b/>
                <w:color w:val="FF0000"/>
                <w:sz w:val="20"/>
                <w:szCs w:val="20"/>
              </w:rPr>
              <w:t>$3,050,000</w:t>
            </w:r>
          </w:p>
        </w:tc>
        <w:tc>
          <w:tcPr>
            <w:tcW w:w="1274" w:type="dxa"/>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color w:val="000000"/>
                <w:sz w:val="20"/>
                <w:szCs w:val="20"/>
              </w:rPr>
              <w:t>$3,050,000</w:t>
            </w:r>
          </w:p>
        </w:tc>
        <w:tc>
          <w:tcPr>
            <w:tcW w:w="1452" w:type="dxa"/>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D923D4">
              <w:rPr>
                <w:rFonts w:ascii="Calibri" w:hAnsi="Calibri"/>
                <w:b/>
                <w:color w:val="FF0000"/>
                <w:sz w:val="20"/>
                <w:szCs w:val="20"/>
              </w:rPr>
              <w:t>$6,100,000</w:t>
            </w:r>
          </w:p>
        </w:tc>
        <w:tc>
          <w:tcPr>
            <w:tcW w:w="1101" w:type="dxa"/>
            <w:gridSpan w:val="2"/>
            <w:shd w:val="clear" w:color="auto" w:fill="D6E3BC" w:themeFill="accent3" w:themeFillTint="66"/>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1299" w:type="dxa"/>
            <w:gridSpan w:val="2"/>
            <w:shd w:val="clear" w:color="auto" w:fill="D6E3BC" w:themeFill="accent3" w:themeFillTint="66"/>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1099" w:type="dxa"/>
            <w:shd w:val="clear" w:color="auto" w:fill="D6E3BC" w:themeFill="accent3" w:themeFillTint="66"/>
          </w:tcPr>
          <w:p w:rsidR="00042748" w:rsidRPr="00C75BF4"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40" w:type="dxa"/>
            <w:vMerge w:val="restart"/>
            <w:textDirection w:val="btLr"/>
          </w:tcPr>
          <w:p w:rsidR="00042748" w:rsidRPr="001743B6" w:rsidRDefault="00042748" w:rsidP="00124A5A">
            <w:pPr>
              <w:spacing w:after="0" w:line="276" w:lineRule="auto"/>
              <w:ind w:left="113" w:right="113"/>
              <w:jc w:val="center"/>
              <w:rPr>
                <w:rFonts w:ascii="Calibri" w:hAnsi="Calibri"/>
                <w:b w:val="0"/>
                <w:sz w:val="18"/>
                <w:szCs w:val="18"/>
              </w:rPr>
            </w:pPr>
            <w:r w:rsidRPr="001743B6">
              <w:rPr>
                <w:rFonts w:ascii="Calibri" w:hAnsi="Calibri"/>
                <w:sz w:val="18"/>
                <w:szCs w:val="18"/>
              </w:rPr>
              <w:t>Economy</w:t>
            </w: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Workforce Training</w:t>
            </w:r>
          </w:p>
        </w:tc>
        <w:tc>
          <w:tcPr>
            <w:tcW w:w="1378"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5841F4">
              <w:rPr>
                <w:rFonts w:ascii="Calibri" w:hAnsi="Calibri"/>
                <w:sz w:val="20"/>
                <w:szCs w:val="20"/>
              </w:rPr>
              <w:t>$250,000</w:t>
            </w: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100</w:t>
            </w: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 xml:space="preserve">People </w:t>
            </w:r>
          </w:p>
        </w:tc>
        <w:tc>
          <w:tcPr>
            <w:tcW w:w="1099" w:type="dxa"/>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1, 2, 3</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041669"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Business Recovery Loan Program</w:t>
            </w:r>
          </w:p>
        </w:tc>
        <w:tc>
          <w:tcPr>
            <w:tcW w:w="1378" w:type="dxa"/>
          </w:tcPr>
          <w:p w:rsidR="00042748" w:rsidRPr="00041669"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r>
              <w:rPr>
                <w:rFonts w:ascii="Calibri" w:hAnsi="Calibri"/>
                <w:color w:val="FF0000"/>
                <w:sz w:val="20"/>
                <w:szCs w:val="20"/>
              </w:rPr>
              <w:t>$3</w:t>
            </w:r>
            <w:r w:rsidRPr="00041669">
              <w:rPr>
                <w:rFonts w:ascii="Calibri" w:hAnsi="Calibri"/>
                <w:color w:val="FF0000"/>
                <w:sz w:val="20"/>
                <w:szCs w:val="20"/>
              </w:rPr>
              <w:t>00,000</w:t>
            </w:r>
          </w:p>
        </w:tc>
        <w:tc>
          <w:tcPr>
            <w:tcW w:w="1274" w:type="dxa"/>
          </w:tcPr>
          <w:p w:rsidR="00042748" w:rsidRPr="00041669"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p>
        </w:tc>
        <w:tc>
          <w:tcPr>
            <w:tcW w:w="1452" w:type="dxa"/>
          </w:tcPr>
          <w:p w:rsidR="00042748" w:rsidRPr="00041669"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p>
        </w:tc>
        <w:tc>
          <w:tcPr>
            <w:tcW w:w="1101" w:type="dxa"/>
            <w:gridSpan w:val="2"/>
          </w:tcPr>
          <w:p w:rsidR="00042748" w:rsidRPr="00041669" w:rsidRDefault="00042748" w:rsidP="00124A5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10</w:t>
            </w:r>
          </w:p>
        </w:tc>
        <w:tc>
          <w:tcPr>
            <w:tcW w:w="1299" w:type="dxa"/>
            <w:gridSpan w:val="2"/>
          </w:tcPr>
          <w:p w:rsidR="00042748" w:rsidRPr="00041669"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Businesses</w:t>
            </w:r>
          </w:p>
        </w:tc>
        <w:tc>
          <w:tcPr>
            <w:tcW w:w="1099" w:type="dxa"/>
          </w:tcPr>
          <w:p w:rsidR="00042748" w:rsidRPr="00041669"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r w:rsidRPr="00041669">
              <w:rPr>
                <w:rFonts w:ascii="Calibri" w:hAnsi="Calibri"/>
                <w:color w:val="FF0000"/>
                <w:sz w:val="20"/>
                <w:szCs w:val="20"/>
              </w:rPr>
              <w:t>1, 2, 3</w:t>
            </w: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Urban Renewal</w:t>
            </w:r>
          </w:p>
        </w:tc>
        <w:tc>
          <w:tcPr>
            <w:tcW w:w="1378" w:type="dxa"/>
          </w:tcPr>
          <w:p w:rsidR="00042748" w:rsidRPr="001743B6" w:rsidRDefault="00042748" w:rsidP="00124A5A">
            <w:pPr>
              <w:spacing w:after="0"/>
              <w:jc w:val="right"/>
              <w:cnfStyle w:val="000000100000" w:firstRow="0" w:lastRow="0" w:firstColumn="0" w:lastColumn="0" w:oddVBand="0" w:evenVBand="0" w:oddHBand="1" w:evenHBand="0" w:firstRowFirstColumn="0" w:firstRowLastColumn="0" w:lastRowFirstColumn="0" w:lastRowLastColumn="0"/>
              <w:rPr>
                <w:rStyle w:val="Strong"/>
                <w:rFonts w:ascii="Calibri" w:hAnsi="Calibri"/>
                <w:sz w:val="20"/>
                <w:szCs w:val="20"/>
              </w:rPr>
            </w:pPr>
            <w:r w:rsidRPr="001743B6">
              <w:rPr>
                <w:rFonts w:ascii="Calibri" w:hAnsi="Calibri"/>
                <w:color w:val="000000"/>
                <w:sz w:val="20"/>
                <w:szCs w:val="20"/>
              </w:rPr>
              <w:t>$500,000</w:t>
            </w:r>
          </w:p>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n/a</w:t>
            </w:r>
          </w:p>
        </w:tc>
        <w:tc>
          <w:tcPr>
            <w:tcW w:w="1099" w:type="dxa"/>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2</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rPr>
                <w:rFonts w:ascii="Calibri" w:hAnsi="Calibri"/>
                <w:b w:val="0"/>
                <w:sz w:val="18"/>
                <w:szCs w:val="18"/>
              </w:rPr>
            </w:pPr>
          </w:p>
        </w:tc>
        <w:tc>
          <w:tcPr>
            <w:tcW w:w="1946" w:type="dxa"/>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 xml:space="preserve">ECONOMY TOTAL </w:t>
            </w:r>
          </w:p>
        </w:tc>
        <w:tc>
          <w:tcPr>
            <w:tcW w:w="1378" w:type="dxa"/>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Style w:val="Strong"/>
                <w:rFonts w:ascii="Calibri" w:hAnsi="Calibri"/>
                <w:sz w:val="20"/>
                <w:szCs w:val="20"/>
              </w:rPr>
            </w:pPr>
            <w:r w:rsidRPr="00D923D4">
              <w:rPr>
                <w:rStyle w:val="Strong"/>
                <w:rFonts w:ascii="Calibri" w:hAnsi="Calibri"/>
                <w:color w:val="FF0000"/>
                <w:sz w:val="20"/>
                <w:szCs w:val="20"/>
              </w:rPr>
              <w:t>$</w:t>
            </w:r>
            <w:r>
              <w:rPr>
                <w:rStyle w:val="Strong"/>
                <w:rFonts w:ascii="Calibri" w:hAnsi="Calibri"/>
                <w:color w:val="FF0000"/>
                <w:sz w:val="20"/>
                <w:szCs w:val="20"/>
              </w:rPr>
              <w:t>1,050</w:t>
            </w:r>
            <w:r w:rsidRPr="00D923D4">
              <w:rPr>
                <w:rStyle w:val="Strong"/>
                <w:rFonts w:ascii="Calibri" w:hAnsi="Calibri"/>
                <w:color w:val="FF0000"/>
                <w:sz w:val="20"/>
                <w:szCs w:val="20"/>
              </w:rPr>
              <w:t>,000</w:t>
            </w:r>
          </w:p>
        </w:tc>
        <w:tc>
          <w:tcPr>
            <w:tcW w:w="1274" w:type="dxa"/>
            <w:tcBorders>
              <w:bottom w:val="single" w:sz="4" w:space="0" w:color="9BBB59" w:themeColor="accent3"/>
            </w:tcBorders>
            <w:shd w:val="clear" w:color="auto" w:fill="D6E3BC" w:themeFill="accent3" w:themeFillTint="66"/>
          </w:tcPr>
          <w:p w:rsidR="00042748" w:rsidRPr="005841F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Style w:val="Strong"/>
                <w:rFonts w:ascii="Calibri" w:hAnsi="Calibri"/>
                <w:sz w:val="20"/>
                <w:szCs w:val="20"/>
                <w:lang w:bidi="hi-IN"/>
              </w:rPr>
            </w:pPr>
            <w:r w:rsidRPr="005841F4">
              <w:rPr>
                <w:rStyle w:val="Strong"/>
                <w:rFonts w:ascii="Calibri" w:hAnsi="Calibri"/>
                <w:color w:val="auto"/>
                <w:sz w:val="20"/>
                <w:szCs w:val="20"/>
              </w:rPr>
              <w:t>$750,000</w:t>
            </w:r>
          </w:p>
        </w:tc>
        <w:tc>
          <w:tcPr>
            <w:tcW w:w="1452" w:type="dxa"/>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Style w:val="Strong"/>
                <w:rFonts w:ascii="Calibri" w:hAnsi="Calibri"/>
                <w:sz w:val="20"/>
                <w:szCs w:val="20"/>
                <w:lang w:bidi="hi-IN"/>
              </w:rPr>
            </w:pPr>
            <w:r w:rsidRPr="00D923D4">
              <w:rPr>
                <w:rStyle w:val="Strong"/>
                <w:rFonts w:ascii="Calibri" w:hAnsi="Calibri"/>
                <w:color w:val="FF0000"/>
                <w:sz w:val="20"/>
                <w:szCs w:val="20"/>
              </w:rPr>
              <w:t>$1,700,000</w:t>
            </w:r>
          </w:p>
        </w:tc>
        <w:tc>
          <w:tcPr>
            <w:tcW w:w="1101" w:type="dxa"/>
            <w:gridSpan w:val="2"/>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jc w:val="center"/>
              <w:cnfStyle w:val="000000000000" w:firstRow="0" w:lastRow="0" w:firstColumn="0" w:lastColumn="0" w:oddVBand="0" w:evenVBand="0" w:oddHBand="0" w:evenHBand="0" w:firstRowFirstColumn="0" w:firstRowLastColumn="0" w:lastRowFirstColumn="0" w:lastRowLastColumn="0"/>
              <w:rPr>
                <w:rStyle w:val="Strong"/>
                <w:rFonts w:ascii="Calibri" w:hAnsi="Calibri"/>
                <w:sz w:val="20"/>
                <w:szCs w:val="20"/>
                <w:lang w:bidi="hi-IN"/>
              </w:rPr>
            </w:pPr>
          </w:p>
        </w:tc>
        <w:tc>
          <w:tcPr>
            <w:tcW w:w="1299" w:type="dxa"/>
            <w:gridSpan w:val="2"/>
            <w:tcBorders>
              <w:bottom w:val="single" w:sz="4" w:space="0" w:color="9BBB59" w:themeColor="accent3"/>
            </w:tcBorders>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1099" w:type="dxa"/>
            <w:tcBorders>
              <w:bottom w:val="single" w:sz="4" w:space="0" w:color="9BBB59" w:themeColor="accent3"/>
            </w:tcBorders>
            <w:shd w:val="clear" w:color="auto" w:fill="D6E3BC" w:themeFill="accent3" w:themeFillTint="66"/>
          </w:tcPr>
          <w:p w:rsidR="00042748" w:rsidRPr="00C75BF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40" w:type="dxa"/>
            <w:vMerge w:val="restart"/>
            <w:textDirection w:val="btLr"/>
          </w:tcPr>
          <w:p w:rsidR="00042748" w:rsidRPr="001743B6" w:rsidRDefault="00042748" w:rsidP="00124A5A">
            <w:pPr>
              <w:spacing w:after="0" w:line="276" w:lineRule="auto"/>
              <w:ind w:left="113" w:right="113"/>
              <w:jc w:val="center"/>
              <w:rPr>
                <w:rFonts w:ascii="Calibri" w:hAnsi="Calibri"/>
                <w:sz w:val="18"/>
                <w:szCs w:val="18"/>
              </w:rPr>
            </w:pPr>
            <w:r w:rsidRPr="001743B6">
              <w:rPr>
                <w:rFonts w:ascii="Calibri" w:hAnsi="Calibri"/>
                <w:sz w:val="18"/>
                <w:szCs w:val="18"/>
              </w:rPr>
              <w:t>Infrastructure</w:t>
            </w:r>
          </w:p>
        </w:tc>
        <w:tc>
          <w:tcPr>
            <w:tcW w:w="1946" w:type="dxa"/>
            <w:tcBorders>
              <w:top w:val="single" w:sz="4" w:space="0" w:color="9BBB59" w:themeColor="accent3"/>
            </w:tcBorders>
          </w:tcPr>
          <w:p w:rsidR="00042748" w:rsidRPr="00D923D4"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D923D4">
              <w:rPr>
                <w:rFonts w:ascii="Calibri" w:hAnsi="Calibri"/>
                <w:sz w:val="20"/>
                <w:szCs w:val="20"/>
              </w:rPr>
              <w:t>Streets and Sidewalks</w:t>
            </w:r>
          </w:p>
        </w:tc>
        <w:tc>
          <w:tcPr>
            <w:tcW w:w="1378" w:type="dxa"/>
            <w:tcBorders>
              <w:top w:val="single" w:sz="4" w:space="0" w:color="9BBB59" w:themeColor="accent3"/>
            </w:tcBorders>
          </w:tcPr>
          <w:p w:rsidR="00042748" w:rsidRPr="005841F4"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r w:rsidRPr="005841F4">
              <w:rPr>
                <w:rStyle w:val="Strong"/>
                <w:rFonts w:ascii="Calibri" w:hAnsi="Calibri"/>
                <w:b w:val="0"/>
                <w:color w:val="auto"/>
                <w:sz w:val="20"/>
                <w:szCs w:val="20"/>
              </w:rPr>
              <w:t>$5,070,000</w:t>
            </w:r>
          </w:p>
        </w:tc>
        <w:tc>
          <w:tcPr>
            <w:tcW w:w="1274" w:type="dxa"/>
            <w:tcBorders>
              <w:top w:val="single" w:sz="4" w:space="0" w:color="9BBB59" w:themeColor="accent3"/>
            </w:tcBorders>
          </w:tcPr>
          <w:p w:rsidR="00042748" w:rsidRPr="005841F4"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Style w:val="Strong"/>
                <w:rFonts w:ascii="Calibri" w:hAnsi="Calibri"/>
                <w:b w:val="0"/>
                <w:color w:val="auto"/>
                <w:sz w:val="20"/>
                <w:szCs w:val="20"/>
                <w:lang w:bidi="hi-IN"/>
              </w:rPr>
            </w:pPr>
          </w:p>
        </w:tc>
        <w:tc>
          <w:tcPr>
            <w:tcW w:w="1452" w:type="dxa"/>
            <w:tcBorders>
              <w:top w:val="single" w:sz="4" w:space="0" w:color="9BBB59" w:themeColor="accent3"/>
            </w:tcBorders>
          </w:tcPr>
          <w:p w:rsidR="00042748" w:rsidRPr="005841F4"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Style w:val="Strong"/>
                <w:rFonts w:ascii="Calibri" w:hAnsi="Calibri"/>
                <w:b w:val="0"/>
                <w:color w:val="auto"/>
                <w:sz w:val="20"/>
                <w:szCs w:val="20"/>
                <w:lang w:bidi="hi-IN"/>
              </w:rPr>
            </w:pPr>
          </w:p>
        </w:tc>
        <w:tc>
          <w:tcPr>
            <w:tcW w:w="1101" w:type="dxa"/>
            <w:gridSpan w:val="2"/>
            <w:tcBorders>
              <w:top w:val="single" w:sz="4" w:space="0" w:color="9BBB59" w:themeColor="accent3"/>
            </w:tcBorders>
          </w:tcPr>
          <w:p w:rsidR="00042748" w:rsidRPr="005841F4"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Style w:val="Strong"/>
                <w:rFonts w:ascii="Calibri" w:hAnsi="Calibri"/>
                <w:b w:val="0"/>
                <w:color w:val="auto"/>
                <w:sz w:val="20"/>
                <w:szCs w:val="20"/>
                <w:lang w:bidi="hi-IN"/>
              </w:rPr>
            </w:pPr>
            <w:r w:rsidRPr="005841F4">
              <w:rPr>
                <w:rStyle w:val="Strong"/>
                <w:rFonts w:ascii="Calibri" w:hAnsi="Calibri"/>
                <w:b w:val="0"/>
                <w:color w:val="auto"/>
                <w:sz w:val="20"/>
                <w:szCs w:val="20"/>
                <w:lang w:bidi="hi-IN"/>
              </w:rPr>
              <w:t>46,500 ft.</w:t>
            </w:r>
          </w:p>
          <w:p w:rsidR="00042748" w:rsidRPr="005841F4"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r w:rsidRPr="005841F4">
              <w:rPr>
                <w:rStyle w:val="Strong"/>
                <w:rFonts w:ascii="Calibri" w:hAnsi="Calibri"/>
                <w:b w:val="0"/>
                <w:color w:val="auto"/>
                <w:sz w:val="20"/>
                <w:szCs w:val="20"/>
                <w:lang w:bidi="hi-IN"/>
              </w:rPr>
              <w:t>9,500 ft.</w:t>
            </w:r>
          </w:p>
        </w:tc>
        <w:tc>
          <w:tcPr>
            <w:tcW w:w="1299" w:type="dxa"/>
            <w:gridSpan w:val="2"/>
            <w:tcBorders>
              <w:top w:val="single" w:sz="4" w:space="0" w:color="9BBB59" w:themeColor="accent3"/>
            </w:tcBorders>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Roadway</w:t>
            </w:r>
          </w:p>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Sidewalks</w:t>
            </w:r>
          </w:p>
        </w:tc>
        <w:tc>
          <w:tcPr>
            <w:tcW w:w="1099" w:type="dxa"/>
            <w:tcBorders>
              <w:top w:val="single" w:sz="4" w:space="0" w:color="9BBB59" w:themeColor="accent3"/>
            </w:tcBorders>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1, 2</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Parks</w:t>
            </w:r>
          </w:p>
        </w:tc>
        <w:tc>
          <w:tcPr>
            <w:tcW w:w="1378" w:type="dxa"/>
          </w:tcPr>
          <w:p w:rsidR="00042748" w:rsidRPr="001743B6" w:rsidRDefault="00042748" w:rsidP="00124A5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$536,000</w:t>
            </w:r>
          </w:p>
        </w:tc>
        <w:tc>
          <w:tcPr>
            <w:tcW w:w="1274"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1</w:t>
            </w:r>
          </w:p>
        </w:tc>
        <w:tc>
          <w:tcPr>
            <w:tcW w:w="1299" w:type="dxa"/>
            <w:gridSpan w:val="2"/>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43B6">
              <w:rPr>
                <w:rFonts w:ascii="Calibri" w:hAnsi="Calibri"/>
                <w:sz w:val="20"/>
                <w:szCs w:val="20"/>
              </w:rPr>
              <w:t>Park</w:t>
            </w:r>
          </w:p>
        </w:tc>
        <w:tc>
          <w:tcPr>
            <w:tcW w:w="1099" w:type="dxa"/>
          </w:tcPr>
          <w:p w:rsidR="00042748" w:rsidRPr="00184F0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3</w:t>
            </w: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0" w:type="dxa"/>
            <w:vMerge/>
          </w:tcPr>
          <w:p w:rsidR="00042748" w:rsidRPr="001743B6" w:rsidRDefault="00042748" w:rsidP="00124A5A">
            <w:pPr>
              <w:spacing w:after="0" w:line="276" w:lineRule="auto"/>
              <w:rPr>
                <w:rFonts w:ascii="Calibri" w:hAnsi="Calibri"/>
                <w:b w:val="0"/>
                <w:sz w:val="18"/>
                <w:szCs w:val="18"/>
              </w:rPr>
            </w:pP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Schools</w:t>
            </w:r>
          </w:p>
        </w:tc>
        <w:tc>
          <w:tcPr>
            <w:tcW w:w="1378" w:type="dxa"/>
          </w:tcPr>
          <w:p w:rsidR="00042748" w:rsidRPr="001743B6" w:rsidRDefault="00042748" w:rsidP="00124A5A">
            <w:pPr>
              <w:spacing w:after="0"/>
              <w:jc w:val="right"/>
              <w:cnfStyle w:val="000000100000" w:firstRow="0" w:lastRow="0" w:firstColumn="0" w:lastColumn="0" w:oddVBand="0" w:evenVBand="0" w:oddHBand="1" w:evenHBand="0" w:firstRowFirstColumn="0" w:firstRowLastColumn="0" w:lastRowFirstColumn="0" w:lastRowLastColumn="0"/>
              <w:rPr>
                <w:rStyle w:val="Strong"/>
                <w:rFonts w:ascii="Calibri" w:hAnsi="Calibri"/>
                <w:sz w:val="20"/>
                <w:szCs w:val="20"/>
              </w:rPr>
            </w:pPr>
            <w:r w:rsidRPr="001743B6">
              <w:rPr>
                <w:rFonts w:ascii="Calibri" w:hAnsi="Calibri"/>
                <w:sz w:val="20"/>
                <w:szCs w:val="20"/>
              </w:rPr>
              <w:t>$3,700,000</w:t>
            </w:r>
          </w:p>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01" w:type="dxa"/>
            <w:gridSpan w:val="2"/>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2</w:t>
            </w: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School Buildings</w:t>
            </w:r>
          </w:p>
        </w:tc>
        <w:tc>
          <w:tcPr>
            <w:tcW w:w="1099" w:type="dxa"/>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1, 2</w:t>
            </w:r>
          </w:p>
        </w:tc>
      </w:tr>
      <w:tr w:rsidR="00042748" w:rsidRPr="00184F06" w:rsidTr="00124A5A">
        <w:trPr>
          <w:trHeight w:val="144"/>
        </w:trPr>
        <w:tc>
          <w:tcPr>
            <w:cnfStyle w:val="001000000000" w:firstRow="0" w:lastRow="0" w:firstColumn="1" w:lastColumn="0" w:oddVBand="0" w:evenVBand="0" w:oddHBand="0" w:evenHBand="0" w:firstRowFirstColumn="0" w:firstRowLastColumn="0" w:lastRowFirstColumn="0" w:lastRowLastColumn="0"/>
            <w:tcW w:w="340" w:type="dxa"/>
            <w:vMerge/>
            <w:shd w:val="clear" w:color="auto" w:fill="D6E3BC" w:themeFill="accent3" w:themeFillTint="66"/>
          </w:tcPr>
          <w:p w:rsidR="00042748" w:rsidRPr="001743B6" w:rsidRDefault="00042748" w:rsidP="00124A5A">
            <w:pPr>
              <w:spacing w:after="0" w:line="276" w:lineRule="auto"/>
              <w:rPr>
                <w:rFonts w:ascii="Calibri" w:hAnsi="Calibri"/>
                <w:b w:val="0"/>
                <w:sz w:val="18"/>
                <w:szCs w:val="18"/>
              </w:rPr>
            </w:pPr>
          </w:p>
        </w:tc>
        <w:tc>
          <w:tcPr>
            <w:tcW w:w="1946" w:type="dxa"/>
            <w:shd w:val="clear" w:color="auto" w:fill="D6E3BC" w:themeFill="accent3" w:themeFillTint="66"/>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INFRASTRUCTURE TOTAL</w:t>
            </w:r>
          </w:p>
        </w:tc>
        <w:tc>
          <w:tcPr>
            <w:tcW w:w="1378" w:type="dxa"/>
            <w:shd w:val="clear" w:color="auto" w:fill="D6E3BC" w:themeFill="accent3" w:themeFillTint="66"/>
          </w:tcPr>
          <w:p w:rsidR="00042748" w:rsidRPr="001743B6" w:rsidRDefault="00042748" w:rsidP="00124A5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Pr>
                <w:rFonts w:ascii="Calibri" w:hAnsi="Calibri"/>
                <w:b/>
                <w:sz w:val="20"/>
                <w:szCs w:val="20"/>
              </w:rPr>
              <w:t>$9,306,000</w:t>
            </w:r>
          </w:p>
        </w:tc>
        <w:tc>
          <w:tcPr>
            <w:tcW w:w="1274" w:type="dxa"/>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$3,600,000</w:t>
            </w:r>
          </w:p>
        </w:tc>
        <w:tc>
          <w:tcPr>
            <w:tcW w:w="1452" w:type="dxa"/>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C75BF4">
              <w:rPr>
                <w:rFonts w:ascii="Calibri" w:hAnsi="Calibri"/>
                <w:b/>
                <w:sz w:val="20"/>
                <w:szCs w:val="20"/>
              </w:rPr>
              <w:t>$12,906,000</w:t>
            </w:r>
          </w:p>
        </w:tc>
        <w:tc>
          <w:tcPr>
            <w:tcW w:w="1101" w:type="dxa"/>
            <w:gridSpan w:val="2"/>
            <w:shd w:val="clear" w:color="auto" w:fill="D6E3BC" w:themeFill="accent3" w:themeFillTint="66"/>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2398" w:type="dxa"/>
            <w:gridSpan w:val="3"/>
            <w:shd w:val="clear" w:color="auto" w:fill="D6E3BC" w:themeFill="accent3" w:themeFillTint="66"/>
          </w:tcPr>
          <w:p w:rsidR="00042748" w:rsidRPr="00C75BF4"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0" w:type="dxa"/>
            <w:vMerge w:val="restart"/>
            <w:textDirection w:val="btLr"/>
          </w:tcPr>
          <w:p w:rsidR="00042748" w:rsidRPr="001743B6" w:rsidRDefault="00042748" w:rsidP="00124A5A">
            <w:pPr>
              <w:spacing w:after="0" w:line="276" w:lineRule="auto"/>
              <w:ind w:left="-90" w:right="113"/>
              <w:jc w:val="center"/>
              <w:rPr>
                <w:rFonts w:ascii="Calibri" w:hAnsi="Calibri"/>
                <w:b w:val="0"/>
                <w:sz w:val="18"/>
                <w:szCs w:val="18"/>
              </w:rPr>
            </w:pPr>
            <w:r w:rsidRPr="001743B6">
              <w:rPr>
                <w:rFonts w:ascii="Calibri" w:hAnsi="Calibri"/>
                <w:sz w:val="18"/>
                <w:szCs w:val="18"/>
              </w:rPr>
              <w:t>Admin</w:t>
            </w:r>
            <w:r>
              <w:rPr>
                <w:rFonts w:ascii="Calibri" w:hAnsi="Calibri"/>
                <w:sz w:val="18"/>
                <w:szCs w:val="18"/>
              </w:rPr>
              <w:t>.</w:t>
            </w:r>
          </w:p>
        </w:tc>
        <w:tc>
          <w:tcPr>
            <w:tcW w:w="1946" w:type="dxa"/>
          </w:tcPr>
          <w:p w:rsidR="00042748" w:rsidRPr="001743B6" w:rsidRDefault="00042748" w:rsidP="00124A5A">
            <w:pPr>
              <w:spacing w:after="0"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Administration</w:t>
            </w:r>
          </w:p>
        </w:tc>
        <w:tc>
          <w:tcPr>
            <w:tcW w:w="1378" w:type="dxa"/>
          </w:tcPr>
          <w:p w:rsidR="00042748" w:rsidRPr="001743B6" w:rsidRDefault="00042748" w:rsidP="00124A5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$500,000</w:t>
            </w:r>
          </w:p>
        </w:tc>
        <w:tc>
          <w:tcPr>
            <w:tcW w:w="1274"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52" w:type="dxa"/>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069" w:type="dxa"/>
          </w:tcPr>
          <w:p w:rsidR="00042748" w:rsidRPr="001743B6" w:rsidRDefault="00042748" w:rsidP="00124A5A">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n/a</w:t>
            </w:r>
          </w:p>
        </w:tc>
        <w:tc>
          <w:tcPr>
            <w:tcW w:w="1299" w:type="dxa"/>
            <w:gridSpan w:val="2"/>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43B6">
              <w:rPr>
                <w:rFonts w:ascii="Calibri" w:hAnsi="Calibri"/>
                <w:sz w:val="20"/>
                <w:szCs w:val="20"/>
              </w:rPr>
              <w:t>n/a</w:t>
            </w:r>
          </w:p>
        </w:tc>
        <w:tc>
          <w:tcPr>
            <w:tcW w:w="1131" w:type="dxa"/>
            <w:gridSpan w:val="2"/>
          </w:tcPr>
          <w:p w:rsidR="00042748" w:rsidRPr="00184F0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n/a</w:t>
            </w:r>
          </w:p>
        </w:tc>
      </w:tr>
      <w:tr w:rsidR="00042748" w:rsidRPr="00184F06" w:rsidTr="00124A5A">
        <w:trPr>
          <w:trHeight w:val="805"/>
        </w:trPr>
        <w:tc>
          <w:tcPr>
            <w:cnfStyle w:val="001000000000" w:firstRow="0" w:lastRow="0" w:firstColumn="1" w:lastColumn="0" w:oddVBand="0" w:evenVBand="0" w:oddHBand="0" w:evenHBand="0" w:firstRowFirstColumn="0" w:firstRowLastColumn="0" w:lastRowFirstColumn="0" w:lastRowLastColumn="0"/>
            <w:tcW w:w="340" w:type="dxa"/>
            <w:vMerge/>
            <w:textDirection w:val="btLr"/>
          </w:tcPr>
          <w:p w:rsidR="00042748" w:rsidRPr="001743B6" w:rsidRDefault="00042748" w:rsidP="00124A5A">
            <w:pPr>
              <w:spacing w:after="0" w:line="276" w:lineRule="auto"/>
              <w:ind w:left="113" w:right="113"/>
              <w:rPr>
                <w:rFonts w:ascii="Calibri" w:hAnsi="Calibri"/>
                <w:sz w:val="20"/>
                <w:szCs w:val="20"/>
              </w:rPr>
            </w:pPr>
          </w:p>
        </w:tc>
        <w:tc>
          <w:tcPr>
            <w:tcW w:w="1946" w:type="dxa"/>
          </w:tcPr>
          <w:p w:rsidR="00042748" w:rsidRPr="001743B6" w:rsidRDefault="00042748" w:rsidP="00124A5A">
            <w:pPr>
              <w:spacing w:after="0"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65407D">
              <w:rPr>
                <w:rFonts w:ascii="Calibri" w:hAnsi="Calibri"/>
                <w:b/>
                <w:sz w:val="20"/>
                <w:szCs w:val="20"/>
              </w:rPr>
              <w:t>ADMINI</w:t>
            </w:r>
            <w:r w:rsidRPr="00F5557C">
              <w:rPr>
                <w:rFonts w:ascii="Calibri" w:hAnsi="Calibri"/>
                <w:b/>
                <w:sz w:val="20"/>
                <w:szCs w:val="20"/>
              </w:rPr>
              <w:t>STRATION TOTAL</w:t>
            </w:r>
          </w:p>
        </w:tc>
        <w:tc>
          <w:tcPr>
            <w:tcW w:w="1378" w:type="dxa"/>
          </w:tcPr>
          <w:p w:rsidR="00042748" w:rsidRPr="001743B6" w:rsidRDefault="00042748" w:rsidP="00124A5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Pr>
                <w:rFonts w:ascii="Calibri" w:hAnsi="Calibri"/>
                <w:b/>
                <w:sz w:val="20"/>
                <w:szCs w:val="20"/>
              </w:rPr>
              <w:t>$500,000</w:t>
            </w:r>
          </w:p>
        </w:tc>
        <w:tc>
          <w:tcPr>
            <w:tcW w:w="1274"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$590,000</w:t>
            </w:r>
          </w:p>
        </w:tc>
        <w:tc>
          <w:tcPr>
            <w:tcW w:w="1452"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1743B6">
              <w:rPr>
                <w:rFonts w:ascii="Calibri" w:hAnsi="Calibri"/>
                <w:b/>
                <w:sz w:val="20"/>
                <w:szCs w:val="20"/>
              </w:rPr>
              <w:t>$1,090,000</w:t>
            </w:r>
          </w:p>
        </w:tc>
        <w:tc>
          <w:tcPr>
            <w:tcW w:w="1069" w:type="dxa"/>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1299" w:type="dxa"/>
            <w:gridSpan w:val="2"/>
          </w:tcPr>
          <w:p w:rsidR="00042748" w:rsidRPr="001743B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p>
        </w:tc>
        <w:tc>
          <w:tcPr>
            <w:tcW w:w="1131" w:type="dxa"/>
            <w:gridSpan w:val="2"/>
          </w:tcPr>
          <w:p w:rsidR="00042748" w:rsidRPr="00184F06" w:rsidRDefault="00042748" w:rsidP="00124A5A">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042748" w:rsidRPr="00184F06" w:rsidTr="00124A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86" w:type="dxa"/>
            <w:gridSpan w:val="2"/>
            <w:shd w:val="clear" w:color="auto" w:fill="76923C" w:themeFill="accent3" w:themeFillShade="BF"/>
          </w:tcPr>
          <w:p w:rsidR="00042748" w:rsidRPr="001743B6" w:rsidRDefault="00042748" w:rsidP="00124A5A">
            <w:pPr>
              <w:spacing w:after="0" w:line="276" w:lineRule="auto"/>
              <w:rPr>
                <w:rFonts w:ascii="Calibri" w:hAnsi="Calibri"/>
                <w:color w:val="FFFFFF" w:themeColor="background1"/>
                <w:sz w:val="20"/>
                <w:szCs w:val="20"/>
              </w:rPr>
            </w:pPr>
            <w:r w:rsidRPr="001743B6">
              <w:rPr>
                <w:rFonts w:ascii="Calibri" w:hAnsi="Calibri"/>
                <w:color w:val="FFFFFF" w:themeColor="background1"/>
                <w:sz w:val="20"/>
                <w:szCs w:val="20"/>
              </w:rPr>
              <w:t>CDBG-DR TOTAL</w:t>
            </w:r>
          </w:p>
        </w:tc>
        <w:tc>
          <w:tcPr>
            <w:tcW w:w="1378" w:type="dxa"/>
            <w:shd w:val="clear" w:color="auto" w:fill="76923C" w:themeFill="accent3" w:themeFillShade="BF"/>
          </w:tcPr>
          <w:p w:rsidR="00042748" w:rsidRPr="001743B6" w:rsidRDefault="00042748" w:rsidP="00124A5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r w:rsidRPr="001743B6">
              <w:rPr>
                <w:rFonts w:ascii="Calibri" w:hAnsi="Calibri"/>
                <w:b/>
                <w:color w:val="FFFFFF" w:themeColor="background1"/>
                <w:sz w:val="20"/>
                <w:szCs w:val="20"/>
              </w:rPr>
              <w:t>$13,906,000</w:t>
            </w:r>
          </w:p>
        </w:tc>
        <w:tc>
          <w:tcPr>
            <w:tcW w:w="1274" w:type="dxa"/>
            <w:shd w:val="clear" w:color="auto" w:fill="76923C" w:themeFill="accent3" w:themeFillShade="BF"/>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r w:rsidRPr="001743B6">
              <w:rPr>
                <w:rFonts w:ascii="Calibri" w:hAnsi="Calibri"/>
                <w:b/>
                <w:color w:val="FFFFFF" w:themeColor="background1"/>
                <w:sz w:val="20"/>
                <w:szCs w:val="20"/>
              </w:rPr>
              <w:t>$7,990,000</w:t>
            </w:r>
          </w:p>
        </w:tc>
        <w:tc>
          <w:tcPr>
            <w:tcW w:w="1452" w:type="dxa"/>
            <w:shd w:val="clear" w:color="auto" w:fill="76923C" w:themeFill="accent3" w:themeFillShade="BF"/>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r w:rsidRPr="001743B6">
              <w:rPr>
                <w:rFonts w:ascii="Calibri" w:hAnsi="Calibri"/>
                <w:b/>
                <w:color w:val="FFFFFF" w:themeColor="background1"/>
                <w:sz w:val="20"/>
                <w:szCs w:val="20"/>
              </w:rPr>
              <w:t>$21,896,000</w:t>
            </w:r>
          </w:p>
        </w:tc>
        <w:tc>
          <w:tcPr>
            <w:tcW w:w="1069" w:type="dxa"/>
            <w:shd w:val="clear" w:color="auto" w:fill="76923C" w:themeFill="accent3" w:themeFillShade="BF"/>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p>
        </w:tc>
        <w:tc>
          <w:tcPr>
            <w:tcW w:w="1299" w:type="dxa"/>
            <w:gridSpan w:val="2"/>
            <w:shd w:val="clear" w:color="auto" w:fill="76923C" w:themeFill="accent3" w:themeFillShade="BF"/>
          </w:tcPr>
          <w:p w:rsidR="00042748" w:rsidRPr="001743B6"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p>
        </w:tc>
        <w:tc>
          <w:tcPr>
            <w:tcW w:w="1131" w:type="dxa"/>
            <w:gridSpan w:val="2"/>
            <w:shd w:val="clear" w:color="auto" w:fill="76923C" w:themeFill="accent3" w:themeFillShade="BF"/>
          </w:tcPr>
          <w:p w:rsidR="00042748" w:rsidRPr="004B237D" w:rsidRDefault="00042748" w:rsidP="00124A5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0"/>
                <w:szCs w:val="20"/>
              </w:rPr>
            </w:pPr>
          </w:p>
        </w:tc>
      </w:tr>
    </w:tbl>
    <w:p w:rsidR="000B454A" w:rsidRDefault="000B454A" w:rsidP="00042748">
      <w:pPr>
        <w:pStyle w:val="Default"/>
      </w:pPr>
    </w:p>
    <w:sectPr w:rsidR="000B454A" w:rsidSect="003F21B8">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B8" w:rsidRDefault="003F21B8" w:rsidP="003F21B8">
      <w:pPr>
        <w:spacing w:after="0"/>
      </w:pPr>
      <w:r>
        <w:separator/>
      </w:r>
    </w:p>
  </w:endnote>
  <w:endnote w:type="continuationSeparator" w:id="0">
    <w:p w:rsidR="003F21B8" w:rsidRDefault="003F21B8" w:rsidP="003F21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64397"/>
      <w:docPartObj>
        <w:docPartGallery w:val="Page Numbers (Bottom of Page)"/>
        <w:docPartUnique/>
      </w:docPartObj>
    </w:sdtPr>
    <w:sdtEndPr>
      <w:rPr>
        <w:noProof/>
      </w:rPr>
    </w:sdtEndPr>
    <w:sdtContent>
      <w:p w:rsidR="003F21B8" w:rsidRDefault="003F21B8">
        <w:pPr>
          <w:pStyle w:val="Footer"/>
          <w:jc w:val="center"/>
        </w:pPr>
        <w:r>
          <w:fldChar w:fldCharType="begin"/>
        </w:r>
        <w:r>
          <w:instrText xml:space="preserve"> PAGE   \* MERGEFORMAT </w:instrText>
        </w:r>
        <w:r>
          <w:fldChar w:fldCharType="separate"/>
        </w:r>
        <w:r w:rsidR="00A17017">
          <w:rPr>
            <w:noProof/>
          </w:rPr>
          <w:t>2</w:t>
        </w:r>
        <w:r>
          <w:rPr>
            <w:noProof/>
          </w:rPr>
          <w:fldChar w:fldCharType="end"/>
        </w:r>
      </w:p>
    </w:sdtContent>
  </w:sdt>
  <w:p w:rsidR="003F21B8" w:rsidRDefault="003F2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B8" w:rsidRDefault="003F21B8" w:rsidP="003F21B8">
      <w:pPr>
        <w:spacing w:after="0"/>
      </w:pPr>
      <w:r>
        <w:separator/>
      </w:r>
    </w:p>
  </w:footnote>
  <w:footnote w:type="continuationSeparator" w:id="0">
    <w:p w:rsidR="003F21B8" w:rsidRDefault="003F21B8" w:rsidP="003F21B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76E"/>
    <w:multiLevelType w:val="hybridMultilevel"/>
    <w:tmpl w:val="76D2E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631FA"/>
    <w:multiLevelType w:val="hybridMultilevel"/>
    <w:tmpl w:val="1448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80A6B"/>
    <w:multiLevelType w:val="hybridMultilevel"/>
    <w:tmpl w:val="E0E2D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556E9"/>
    <w:multiLevelType w:val="hybridMultilevel"/>
    <w:tmpl w:val="F348C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C1D45"/>
    <w:multiLevelType w:val="hybridMultilevel"/>
    <w:tmpl w:val="4324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B549A2"/>
    <w:multiLevelType w:val="hybridMultilevel"/>
    <w:tmpl w:val="98D8FEE4"/>
    <w:lvl w:ilvl="0" w:tplc="F3C8F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91"/>
    <w:rsid w:val="00041669"/>
    <w:rsid w:val="00042748"/>
    <w:rsid w:val="0007274D"/>
    <w:rsid w:val="0009566B"/>
    <w:rsid w:val="000B454A"/>
    <w:rsid w:val="000D0285"/>
    <w:rsid w:val="001A4F9B"/>
    <w:rsid w:val="00236CA2"/>
    <w:rsid w:val="002B3367"/>
    <w:rsid w:val="003F21B8"/>
    <w:rsid w:val="004D0A37"/>
    <w:rsid w:val="00513C9A"/>
    <w:rsid w:val="005841F4"/>
    <w:rsid w:val="006B77F4"/>
    <w:rsid w:val="006F047A"/>
    <w:rsid w:val="00796DA8"/>
    <w:rsid w:val="008613D5"/>
    <w:rsid w:val="00862758"/>
    <w:rsid w:val="008F0010"/>
    <w:rsid w:val="00914EE8"/>
    <w:rsid w:val="00A17017"/>
    <w:rsid w:val="00A576B4"/>
    <w:rsid w:val="00BD40F4"/>
    <w:rsid w:val="00CB1DA6"/>
    <w:rsid w:val="00D04DEB"/>
    <w:rsid w:val="00D2641F"/>
    <w:rsid w:val="00D34B3C"/>
    <w:rsid w:val="00D65479"/>
    <w:rsid w:val="00D923D4"/>
    <w:rsid w:val="00DA12BD"/>
    <w:rsid w:val="00ED41C3"/>
    <w:rsid w:val="00F44562"/>
    <w:rsid w:val="00F65A91"/>
    <w:rsid w:val="00FA64FC"/>
    <w:rsid w:val="00FF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69"/>
    <w:pPr>
      <w:spacing w:after="18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A9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41669"/>
    <w:rPr>
      <w:b/>
      <w:bCs/>
      <w:color w:val="265898" w:themeColor="text2" w:themeTint="E6"/>
    </w:rPr>
  </w:style>
  <w:style w:type="table" w:styleId="LightList-Accent3">
    <w:name w:val="Light List Accent 3"/>
    <w:basedOn w:val="TableNormal"/>
    <w:uiPriority w:val="61"/>
    <w:rsid w:val="0004166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0B454A"/>
    <w:rPr>
      <w:color w:val="0000FF" w:themeColor="hyperlink"/>
      <w:u w:val="single"/>
    </w:rPr>
  </w:style>
  <w:style w:type="paragraph" w:styleId="BalloonText">
    <w:name w:val="Balloon Text"/>
    <w:basedOn w:val="Normal"/>
    <w:link w:val="BalloonTextChar"/>
    <w:uiPriority w:val="99"/>
    <w:semiHidden/>
    <w:unhideWhenUsed/>
    <w:rsid w:val="00DA12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2BD"/>
    <w:rPr>
      <w:rFonts w:ascii="Tahoma" w:hAnsi="Tahoma" w:cs="Tahoma"/>
      <w:sz w:val="16"/>
      <w:szCs w:val="16"/>
    </w:rPr>
  </w:style>
  <w:style w:type="paragraph" w:styleId="Header">
    <w:name w:val="header"/>
    <w:basedOn w:val="Normal"/>
    <w:link w:val="HeaderChar"/>
    <w:uiPriority w:val="99"/>
    <w:unhideWhenUsed/>
    <w:rsid w:val="003F21B8"/>
    <w:pPr>
      <w:tabs>
        <w:tab w:val="center" w:pos="4680"/>
        <w:tab w:val="right" w:pos="9360"/>
      </w:tabs>
      <w:spacing w:after="0"/>
    </w:pPr>
  </w:style>
  <w:style w:type="character" w:customStyle="1" w:styleId="HeaderChar">
    <w:name w:val="Header Char"/>
    <w:basedOn w:val="DefaultParagraphFont"/>
    <w:link w:val="Header"/>
    <w:uiPriority w:val="99"/>
    <w:rsid w:val="003F21B8"/>
    <w:rPr>
      <w:sz w:val="24"/>
    </w:rPr>
  </w:style>
  <w:style w:type="paragraph" w:styleId="Footer">
    <w:name w:val="footer"/>
    <w:basedOn w:val="Normal"/>
    <w:link w:val="FooterChar"/>
    <w:uiPriority w:val="99"/>
    <w:unhideWhenUsed/>
    <w:rsid w:val="003F21B8"/>
    <w:pPr>
      <w:tabs>
        <w:tab w:val="center" w:pos="4680"/>
        <w:tab w:val="right" w:pos="9360"/>
      </w:tabs>
      <w:spacing w:after="0"/>
    </w:pPr>
  </w:style>
  <w:style w:type="character" w:customStyle="1" w:styleId="FooterChar">
    <w:name w:val="Footer Char"/>
    <w:basedOn w:val="DefaultParagraphFont"/>
    <w:link w:val="Footer"/>
    <w:uiPriority w:val="99"/>
    <w:rsid w:val="003F21B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69"/>
    <w:pPr>
      <w:spacing w:after="18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A9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41669"/>
    <w:rPr>
      <w:b/>
      <w:bCs/>
      <w:color w:val="265898" w:themeColor="text2" w:themeTint="E6"/>
    </w:rPr>
  </w:style>
  <w:style w:type="table" w:styleId="LightList-Accent3">
    <w:name w:val="Light List Accent 3"/>
    <w:basedOn w:val="TableNormal"/>
    <w:uiPriority w:val="61"/>
    <w:rsid w:val="0004166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0B454A"/>
    <w:rPr>
      <w:color w:val="0000FF" w:themeColor="hyperlink"/>
      <w:u w:val="single"/>
    </w:rPr>
  </w:style>
  <w:style w:type="paragraph" w:styleId="BalloonText">
    <w:name w:val="Balloon Text"/>
    <w:basedOn w:val="Normal"/>
    <w:link w:val="BalloonTextChar"/>
    <w:uiPriority w:val="99"/>
    <w:semiHidden/>
    <w:unhideWhenUsed/>
    <w:rsid w:val="00DA12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2BD"/>
    <w:rPr>
      <w:rFonts w:ascii="Tahoma" w:hAnsi="Tahoma" w:cs="Tahoma"/>
      <w:sz w:val="16"/>
      <w:szCs w:val="16"/>
    </w:rPr>
  </w:style>
  <w:style w:type="paragraph" w:styleId="Header">
    <w:name w:val="header"/>
    <w:basedOn w:val="Normal"/>
    <w:link w:val="HeaderChar"/>
    <w:uiPriority w:val="99"/>
    <w:unhideWhenUsed/>
    <w:rsid w:val="003F21B8"/>
    <w:pPr>
      <w:tabs>
        <w:tab w:val="center" w:pos="4680"/>
        <w:tab w:val="right" w:pos="9360"/>
      </w:tabs>
      <w:spacing w:after="0"/>
    </w:pPr>
  </w:style>
  <w:style w:type="character" w:customStyle="1" w:styleId="HeaderChar">
    <w:name w:val="Header Char"/>
    <w:basedOn w:val="DefaultParagraphFont"/>
    <w:link w:val="Header"/>
    <w:uiPriority w:val="99"/>
    <w:rsid w:val="003F21B8"/>
    <w:rPr>
      <w:sz w:val="24"/>
    </w:rPr>
  </w:style>
  <w:style w:type="paragraph" w:styleId="Footer">
    <w:name w:val="footer"/>
    <w:basedOn w:val="Normal"/>
    <w:link w:val="FooterChar"/>
    <w:uiPriority w:val="99"/>
    <w:unhideWhenUsed/>
    <w:rsid w:val="003F21B8"/>
    <w:pPr>
      <w:tabs>
        <w:tab w:val="center" w:pos="4680"/>
        <w:tab w:val="right" w:pos="9360"/>
      </w:tabs>
      <w:spacing w:after="0"/>
    </w:pPr>
  </w:style>
  <w:style w:type="character" w:customStyle="1" w:styleId="FooterChar">
    <w:name w:val="Footer Char"/>
    <w:basedOn w:val="DefaultParagraphFont"/>
    <w:link w:val="Footer"/>
    <w:uiPriority w:val="99"/>
    <w:rsid w:val="003F21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springfield-ma.gov/planning/cdbg-dr.0.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ringfield-ma.gov/planning/cdbg-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Springfield</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Quagliato, Tina</dc:creator>
  <cp:lastModifiedBy>Quagliato, Tina</cp:lastModifiedBy>
  <cp:revision>2</cp:revision>
  <cp:lastPrinted>2015-06-16T13:28:00Z</cp:lastPrinted>
  <dcterms:created xsi:type="dcterms:W3CDTF">2015-06-16T14:14:00Z</dcterms:created>
  <dcterms:modified xsi:type="dcterms:W3CDTF">2015-06-16T14:14:00Z</dcterms:modified>
</cp:coreProperties>
</file>